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方正小标宋简体"/>
          <w:b/>
          <w:bCs/>
          <w:sz w:val="48"/>
          <w:szCs w:val="48"/>
        </w:rPr>
      </w:pPr>
      <w:r>
        <w:rPr>
          <w:rFonts w:eastAsia="方正小标宋简体"/>
          <w:b/>
          <w:bCs/>
          <w:sz w:val="48"/>
          <w:szCs w:val="48"/>
        </w:rPr>
        <w:t>佛山市南海区优秀绿色建材</w:t>
      </w:r>
      <w:r>
        <w:rPr>
          <w:rFonts w:hint="eastAsia" w:eastAsia="方正小标宋简体"/>
          <w:b/>
          <w:bCs/>
          <w:sz w:val="48"/>
          <w:szCs w:val="48"/>
          <w:lang w:val="en-US" w:eastAsia="zh-CN"/>
        </w:rPr>
        <w:t>应用</w:t>
      </w:r>
      <w:r>
        <w:rPr>
          <w:rFonts w:eastAsia="方正小标宋简体"/>
          <w:b/>
          <w:bCs/>
          <w:sz w:val="48"/>
          <w:szCs w:val="48"/>
        </w:rPr>
        <w:t>项目</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方正小标宋简体"/>
          <w:b/>
          <w:bCs/>
          <w:sz w:val="48"/>
          <w:szCs w:val="48"/>
        </w:rPr>
      </w:pPr>
      <w:r>
        <w:rPr>
          <w:rFonts w:eastAsia="方正小标宋简体"/>
          <w:b/>
          <w:bCs/>
          <w:sz w:val="48"/>
          <w:szCs w:val="48"/>
        </w:rPr>
        <w:t>评选办法</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1 总 则</w:t>
      </w:r>
    </w:p>
    <w:p>
      <w:pPr>
        <w:spacing w:line="360" w:lineRule="auto"/>
        <w:ind w:firstLine="643"/>
        <w:rPr>
          <w:bCs/>
          <w:sz w:val="32"/>
          <w:szCs w:val="32"/>
        </w:rPr>
      </w:pPr>
      <w:r>
        <w:rPr>
          <w:b/>
          <w:sz w:val="32"/>
          <w:szCs w:val="32"/>
        </w:rPr>
        <w:t xml:space="preserve">1.1 </w:t>
      </w:r>
      <w:r>
        <w:rPr>
          <w:bCs/>
          <w:sz w:val="32"/>
          <w:szCs w:val="32"/>
        </w:rPr>
        <w:t>为贯彻落实《佛山市人民政府办公室关于印发佛山市推广绿色建材促进建筑品质提升试点工作实施方案的通知》（佛府办函〔2021〕30号），争创全国绿色建材应用项目精品工程，推进我区绿色建材应用项目整体水平提升，制定本办法。</w:t>
      </w:r>
    </w:p>
    <w:p>
      <w:pPr>
        <w:spacing w:line="360" w:lineRule="auto"/>
        <w:ind w:firstLine="643"/>
        <w:rPr>
          <w:bCs/>
          <w:sz w:val="32"/>
          <w:szCs w:val="32"/>
        </w:rPr>
      </w:pPr>
      <w:r>
        <w:rPr>
          <w:b/>
          <w:sz w:val="32"/>
          <w:szCs w:val="32"/>
        </w:rPr>
        <w:t xml:space="preserve">1.2 </w:t>
      </w:r>
      <w:r>
        <w:rPr>
          <w:bCs/>
          <w:sz w:val="32"/>
          <w:szCs w:val="32"/>
        </w:rPr>
        <w:t>评选工作遵循“</w:t>
      </w:r>
      <w:r>
        <w:rPr>
          <w:rFonts w:hint="eastAsia"/>
          <w:bCs/>
          <w:sz w:val="32"/>
          <w:szCs w:val="32"/>
          <w:lang w:eastAsia="zh-CN"/>
        </w:rPr>
        <w:t>公平公正公开</w:t>
      </w:r>
      <w:r>
        <w:rPr>
          <w:bCs/>
          <w:sz w:val="32"/>
          <w:szCs w:val="32"/>
        </w:rPr>
        <w:t>”的原则。</w:t>
      </w:r>
    </w:p>
    <w:p>
      <w:pPr>
        <w:spacing w:line="360" w:lineRule="auto"/>
        <w:ind w:firstLine="643"/>
        <w:rPr>
          <w:bCs/>
          <w:sz w:val="32"/>
          <w:szCs w:val="32"/>
        </w:rPr>
      </w:pPr>
      <w:r>
        <w:rPr>
          <w:b/>
          <w:sz w:val="32"/>
          <w:szCs w:val="32"/>
        </w:rPr>
        <w:t xml:space="preserve">1.3 </w:t>
      </w:r>
      <w:r>
        <w:rPr>
          <w:bCs/>
          <w:sz w:val="32"/>
          <w:szCs w:val="32"/>
        </w:rPr>
        <w:t>“南海区优秀绿色建材</w:t>
      </w:r>
      <w:r>
        <w:rPr>
          <w:rFonts w:hint="eastAsia"/>
          <w:bCs/>
          <w:sz w:val="32"/>
          <w:szCs w:val="32"/>
          <w:lang w:val="en-US" w:eastAsia="zh-CN"/>
        </w:rPr>
        <w:t>应用</w:t>
      </w:r>
      <w:r>
        <w:rPr>
          <w:bCs/>
          <w:sz w:val="32"/>
          <w:szCs w:val="32"/>
        </w:rPr>
        <w:t>项目”评选对象为我区行政区划内的</w:t>
      </w:r>
      <w:r>
        <w:rPr>
          <w:rFonts w:hint="eastAsia"/>
          <w:bCs/>
          <w:sz w:val="32"/>
          <w:szCs w:val="32"/>
          <w:lang w:val="en-US" w:eastAsia="zh-CN"/>
        </w:rPr>
        <w:t>绿色建材工程应用</w:t>
      </w:r>
      <w:r>
        <w:rPr>
          <w:bCs/>
          <w:sz w:val="32"/>
          <w:szCs w:val="32"/>
        </w:rPr>
        <w:t>项目。可由项目建设单位或工程总承包单位独立申报，亦可由建设单位、工程总承包单位、设计单位等联合申报。</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2 评选要求</w:t>
      </w:r>
    </w:p>
    <w:p>
      <w:pPr>
        <w:wordWrap w:val="0"/>
        <w:spacing w:line="560" w:lineRule="exact"/>
        <w:ind w:firstLine="643"/>
        <w:rPr>
          <w:b/>
          <w:sz w:val="32"/>
          <w:szCs w:val="32"/>
        </w:rPr>
      </w:pPr>
      <w:r>
        <w:rPr>
          <w:b/>
          <w:sz w:val="32"/>
          <w:szCs w:val="32"/>
        </w:rPr>
        <w:t xml:space="preserve">2.1 </w:t>
      </w:r>
      <w:r>
        <w:rPr>
          <w:sz w:val="32"/>
          <w:szCs w:val="32"/>
        </w:rPr>
        <w:t>评选要求包括基础要求、技术要求、全过程管理要求和创新引领要求。其中“基础要求、技术要求、全过程管理要求”作为常规性要求，“创新引领要求”作为引导性要求。</w:t>
      </w:r>
    </w:p>
    <w:p>
      <w:pPr>
        <w:wordWrap w:val="0"/>
        <w:spacing w:line="560" w:lineRule="exact"/>
        <w:ind w:firstLine="643"/>
        <w:rPr>
          <w:b/>
          <w:sz w:val="32"/>
          <w:szCs w:val="32"/>
        </w:rPr>
      </w:pPr>
      <w:r>
        <w:rPr>
          <w:b/>
          <w:sz w:val="32"/>
          <w:szCs w:val="32"/>
        </w:rPr>
        <w:t>2.2 基础要求（Q1）</w:t>
      </w:r>
    </w:p>
    <w:p>
      <w:pPr>
        <w:wordWrap w:val="0"/>
        <w:spacing w:line="560" w:lineRule="exact"/>
        <w:ind w:firstLine="640"/>
        <w:rPr>
          <w:sz w:val="32"/>
          <w:szCs w:val="32"/>
        </w:rPr>
      </w:pPr>
      <w:r>
        <w:rPr>
          <w:sz w:val="32"/>
          <w:szCs w:val="32"/>
        </w:rPr>
        <w:t>项目建设单位、工程总承包单位、设计单位等近三年内无重大质量事故、安全生产事故，及影响生态环境的事故；处于被责任诉讼中的单位不能申报。</w:t>
      </w:r>
    </w:p>
    <w:p>
      <w:pPr>
        <w:wordWrap w:val="0"/>
        <w:spacing w:line="560" w:lineRule="exact"/>
        <w:ind w:firstLine="640"/>
        <w:rPr>
          <w:sz w:val="32"/>
          <w:szCs w:val="32"/>
        </w:rPr>
      </w:pPr>
      <w:r>
        <w:rPr>
          <w:sz w:val="32"/>
          <w:szCs w:val="32"/>
        </w:rPr>
        <w:t>评选计分：10分。</w:t>
      </w:r>
    </w:p>
    <w:p>
      <w:pPr>
        <w:wordWrap w:val="0"/>
        <w:spacing w:line="560" w:lineRule="exact"/>
        <w:ind w:firstLine="643"/>
        <w:rPr>
          <w:b/>
          <w:sz w:val="32"/>
          <w:szCs w:val="32"/>
        </w:rPr>
      </w:pPr>
      <w:r>
        <w:rPr>
          <w:b/>
          <w:sz w:val="32"/>
          <w:szCs w:val="32"/>
        </w:rPr>
        <w:t>2.3 技术要求（Q2）</w:t>
      </w:r>
    </w:p>
    <w:p>
      <w:pPr>
        <w:wordWrap w:val="0"/>
        <w:spacing w:line="560" w:lineRule="exact"/>
        <w:ind w:firstLine="640"/>
        <w:rPr>
          <w:sz w:val="32"/>
          <w:szCs w:val="32"/>
        </w:rPr>
      </w:pPr>
      <w:r>
        <w:rPr>
          <w:rFonts w:hint="eastAsia"/>
          <w:sz w:val="32"/>
          <w:szCs w:val="32"/>
        </w:rPr>
        <w:t>（1）</w:t>
      </w:r>
      <w:r>
        <w:rPr>
          <w:sz w:val="32"/>
          <w:szCs w:val="32"/>
        </w:rPr>
        <w:t>项目绿色建材应用比例按《佛山市建筑工程绿色建材应用比例计算技术细则》计算不低于30%；</w:t>
      </w:r>
    </w:p>
    <w:p>
      <w:pPr>
        <w:wordWrap w:val="0"/>
        <w:spacing w:line="560" w:lineRule="exact"/>
        <w:ind w:firstLine="640"/>
        <w:rPr>
          <w:sz w:val="32"/>
          <w:szCs w:val="32"/>
        </w:rPr>
      </w:pPr>
      <w:r>
        <w:rPr>
          <w:rFonts w:hint="eastAsia"/>
          <w:sz w:val="32"/>
          <w:szCs w:val="32"/>
        </w:rPr>
        <w:t>（2）</w:t>
      </w:r>
      <w:r>
        <w:rPr>
          <w:sz w:val="32"/>
          <w:szCs w:val="32"/>
        </w:rPr>
        <w:t>项目所用绿色建材种类和数量满足《佛山市绿色建材试点项目应用绿色建材技术指引》的要求，并能提供相关有效的支撑性证明材料。</w:t>
      </w:r>
    </w:p>
    <w:p>
      <w:pPr>
        <w:wordWrap w:val="0"/>
        <w:spacing w:line="560" w:lineRule="exact"/>
        <w:ind w:firstLine="640"/>
        <w:rPr>
          <w:sz w:val="32"/>
          <w:szCs w:val="32"/>
        </w:rPr>
      </w:pPr>
      <w:r>
        <w:rPr>
          <w:sz w:val="32"/>
          <w:szCs w:val="32"/>
        </w:rPr>
        <w:t>评选计分：30分。</w:t>
      </w:r>
    </w:p>
    <w:p>
      <w:pPr>
        <w:wordWrap w:val="0"/>
        <w:spacing w:line="560" w:lineRule="exact"/>
        <w:ind w:firstLine="643"/>
        <w:rPr>
          <w:b/>
          <w:sz w:val="32"/>
          <w:szCs w:val="32"/>
        </w:rPr>
      </w:pPr>
      <w:r>
        <w:rPr>
          <w:b/>
          <w:sz w:val="32"/>
          <w:szCs w:val="32"/>
        </w:rPr>
        <w:t>2.4 全过程管理要求（Q3）</w:t>
      </w:r>
    </w:p>
    <w:p>
      <w:pPr>
        <w:wordWrap w:val="0"/>
        <w:spacing w:line="560" w:lineRule="exact"/>
        <w:ind w:firstLine="640"/>
      </w:pPr>
      <w:r>
        <w:rPr>
          <w:sz w:val="32"/>
          <w:szCs w:val="32"/>
        </w:rPr>
        <w:t>项目</w:t>
      </w:r>
      <w:r>
        <w:rPr>
          <w:rFonts w:hint="eastAsia"/>
          <w:sz w:val="32"/>
          <w:szCs w:val="32"/>
          <w:lang w:eastAsia="zh-CN"/>
        </w:rPr>
        <w:t>有</w:t>
      </w:r>
      <w:r>
        <w:rPr>
          <w:sz w:val="32"/>
          <w:szCs w:val="32"/>
        </w:rPr>
        <w:t>开展绿色建材应用全过程管理，并提供相关支撑性证明文件。</w:t>
      </w:r>
    </w:p>
    <w:p>
      <w:pPr>
        <w:wordWrap w:val="0"/>
        <w:spacing w:line="560" w:lineRule="exact"/>
        <w:ind w:firstLine="640"/>
        <w:rPr>
          <w:sz w:val="32"/>
          <w:szCs w:val="32"/>
        </w:rPr>
      </w:pPr>
      <w:r>
        <w:rPr>
          <w:sz w:val="32"/>
          <w:szCs w:val="32"/>
        </w:rPr>
        <w:t>评选计分：30分。</w:t>
      </w:r>
    </w:p>
    <w:p>
      <w:pPr>
        <w:wordWrap w:val="0"/>
        <w:spacing w:line="560" w:lineRule="exact"/>
        <w:ind w:firstLine="643"/>
        <w:rPr>
          <w:b/>
          <w:sz w:val="32"/>
          <w:szCs w:val="32"/>
        </w:rPr>
      </w:pPr>
      <w:r>
        <w:rPr>
          <w:b/>
          <w:sz w:val="32"/>
          <w:szCs w:val="32"/>
        </w:rPr>
        <w:t>2.5 创新引领要求（Q4）</w:t>
      </w:r>
    </w:p>
    <w:p>
      <w:pPr>
        <w:wordWrap w:val="0"/>
        <w:spacing w:line="560" w:lineRule="exact"/>
        <w:ind w:firstLine="640"/>
        <w:rPr>
          <w:sz w:val="32"/>
          <w:szCs w:val="32"/>
        </w:rPr>
      </w:pPr>
      <w:r>
        <w:rPr>
          <w:rFonts w:hint="eastAsia"/>
          <w:sz w:val="32"/>
          <w:szCs w:val="32"/>
        </w:rPr>
        <w:t>（1）</w:t>
      </w:r>
      <w:r>
        <w:rPr>
          <w:sz w:val="32"/>
          <w:szCs w:val="32"/>
        </w:rPr>
        <w:t>项目绿色建材应用比例按《佛山市建筑工程绿色建材应用比例计算技术细则》计算达到50%以上（含），计5分；达到70%以上（含），计10分；</w:t>
      </w:r>
    </w:p>
    <w:p>
      <w:pPr>
        <w:wordWrap w:val="0"/>
        <w:spacing w:line="560" w:lineRule="exact"/>
        <w:ind w:firstLine="640"/>
        <w:rPr>
          <w:sz w:val="32"/>
          <w:szCs w:val="32"/>
        </w:rPr>
      </w:pPr>
      <w:r>
        <w:rPr>
          <w:rFonts w:hint="eastAsia"/>
          <w:sz w:val="32"/>
          <w:szCs w:val="32"/>
        </w:rPr>
        <w:t>（2）</w:t>
      </w:r>
      <w:r>
        <w:rPr>
          <w:sz w:val="32"/>
          <w:szCs w:val="32"/>
        </w:rPr>
        <w:t>项目对所用绿色建材碳排放进行控制，可提供2种以上（含）绿色建材产品碳足迹报告，计5分；</w:t>
      </w:r>
    </w:p>
    <w:p>
      <w:pPr>
        <w:wordWrap w:val="0"/>
        <w:spacing w:line="560" w:lineRule="exact"/>
        <w:ind w:firstLine="640"/>
        <w:rPr>
          <w:sz w:val="32"/>
          <w:szCs w:val="32"/>
        </w:rPr>
      </w:pPr>
      <w:r>
        <w:rPr>
          <w:rFonts w:hint="eastAsia"/>
          <w:sz w:val="32"/>
          <w:szCs w:val="32"/>
        </w:rPr>
        <w:t>（3）</w:t>
      </w:r>
      <w:r>
        <w:rPr>
          <w:sz w:val="32"/>
          <w:szCs w:val="32"/>
        </w:rPr>
        <w:t>项目按《绿色建材产品减碳计算导则（试行）》编制绿色建材减碳效益量化分析报告，计5分；</w:t>
      </w:r>
    </w:p>
    <w:p>
      <w:pPr>
        <w:wordWrap w:val="0"/>
        <w:spacing w:line="560" w:lineRule="exact"/>
        <w:ind w:firstLine="640"/>
        <w:rPr>
          <w:sz w:val="32"/>
          <w:szCs w:val="32"/>
        </w:rPr>
      </w:pPr>
      <w:r>
        <w:rPr>
          <w:rFonts w:hint="eastAsia"/>
          <w:sz w:val="32"/>
          <w:szCs w:val="32"/>
        </w:rPr>
        <w:t>（4）</w:t>
      </w:r>
      <w:r>
        <w:rPr>
          <w:sz w:val="32"/>
          <w:szCs w:val="32"/>
        </w:rPr>
        <w:t>项目对建筑碳排放进行控制，并按GB/T 51366-2019《建筑碳排放计算标准》编制建筑碳排放计算分析报告，计5分。</w:t>
      </w:r>
    </w:p>
    <w:p>
      <w:pPr>
        <w:wordWrap w:val="0"/>
        <w:spacing w:line="560" w:lineRule="exact"/>
        <w:ind w:firstLine="640"/>
        <w:rPr>
          <w:rFonts w:hint="eastAsia"/>
          <w:sz w:val="32"/>
          <w:szCs w:val="32"/>
        </w:rPr>
      </w:pPr>
      <w:r>
        <w:rPr>
          <w:rFonts w:hint="eastAsia"/>
          <w:sz w:val="32"/>
          <w:szCs w:val="32"/>
        </w:rPr>
        <w:t>（5）项目整体具有较好的创新意义，得2分；具有建立便捷、可复制的推广模式，得2分；具有一定的社会效益，得1分。共计5分。</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3 评选程序</w:t>
      </w:r>
    </w:p>
    <w:p>
      <w:pPr>
        <w:wordWrap w:val="0"/>
        <w:spacing w:line="560" w:lineRule="exact"/>
        <w:ind w:firstLine="643"/>
        <w:rPr>
          <w:sz w:val="32"/>
          <w:szCs w:val="32"/>
        </w:rPr>
      </w:pPr>
      <w:r>
        <w:rPr>
          <w:b/>
          <w:sz w:val="32"/>
          <w:szCs w:val="32"/>
        </w:rPr>
        <w:t>3.1</w:t>
      </w:r>
      <w:r>
        <w:rPr>
          <w:sz w:val="32"/>
          <w:szCs w:val="32"/>
        </w:rPr>
        <w:t xml:space="preserve"> 评选工作由</w:t>
      </w:r>
      <w:r>
        <w:rPr>
          <w:rFonts w:hint="eastAsia"/>
          <w:sz w:val="32"/>
          <w:szCs w:val="32"/>
        </w:rPr>
        <w:t>佛山市南海区工程勘察设计咨询协会</w:t>
      </w:r>
      <w:r>
        <w:rPr>
          <w:sz w:val="32"/>
          <w:szCs w:val="32"/>
        </w:rPr>
        <w:t>组织，评选采取专家评审方式进行。</w:t>
      </w:r>
    </w:p>
    <w:p>
      <w:pPr>
        <w:wordWrap w:val="0"/>
        <w:spacing w:line="560" w:lineRule="exact"/>
        <w:ind w:firstLine="640"/>
      </w:pPr>
      <w:r>
        <w:rPr>
          <w:rFonts w:hint="eastAsia"/>
          <w:b/>
          <w:bCs/>
          <w:sz w:val="32"/>
          <w:szCs w:val="32"/>
          <w:lang w:val="en-US" w:eastAsia="zh-CN"/>
        </w:rPr>
        <w:t>3.2</w:t>
      </w:r>
      <w:r>
        <w:rPr>
          <w:rFonts w:hint="eastAsia"/>
          <w:sz w:val="32"/>
          <w:szCs w:val="32"/>
          <w:lang w:val="en-US" w:eastAsia="zh-CN"/>
        </w:rPr>
        <w:t xml:space="preserve"> 每年上半年度（1月1日至6月30日）的项目评优申报材料需在当年8月8日-9月8日提交；下半年度（7月1日至12月31日）的项目评优申</w:t>
      </w:r>
      <w:bookmarkStart w:id="0" w:name="_GoBack"/>
      <w:bookmarkEnd w:id="0"/>
      <w:r>
        <w:rPr>
          <w:rFonts w:hint="eastAsia"/>
          <w:sz w:val="32"/>
          <w:szCs w:val="32"/>
          <w:lang w:val="en-US" w:eastAsia="zh-CN"/>
        </w:rPr>
        <w:t>报材料需在次年1月15日-2月15日提交。所有申报材料需把电子版及纸质版资料提交至佛山市南海区工程勘察设计咨询协会。</w:t>
      </w:r>
    </w:p>
    <w:p>
      <w:pPr>
        <w:wordWrap w:val="0"/>
        <w:spacing w:line="560" w:lineRule="exact"/>
        <w:ind w:firstLine="643"/>
        <w:rPr>
          <w:b/>
          <w:sz w:val="32"/>
          <w:szCs w:val="32"/>
        </w:rPr>
      </w:pPr>
      <w:r>
        <w:rPr>
          <w:b/>
          <w:sz w:val="32"/>
          <w:szCs w:val="32"/>
        </w:rPr>
        <w:t>3.</w:t>
      </w:r>
      <w:r>
        <w:rPr>
          <w:rFonts w:hint="eastAsia"/>
          <w:b/>
          <w:sz w:val="32"/>
          <w:szCs w:val="32"/>
          <w:lang w:val="en-US" w:eastAsia="zh-CN"/>
        </w:rPr>
        <w:t>3</w:t>
      </w:r>
      <w:r>
        <w:rPr>
          <w:b/>
          <w:sz w:val="32"/>
          <w:szCs w:val="32"/>
        </w:rPr>
        <w:t xml:space="preserve"> </w:t>
      </w:r>
      <w:r>
        <w:rPr>
          <w:rFonts w:hint="eastAsia"/>
          <w:bCs/>
          <w:sz w:val="32"/>
          <w:szCs w:val="32"/>
        </w:rPr>
        <w:t>评选流程包括：评选申报、专家评审、公示公告三个环节。</w:t>
      </w:r>
    </w:p>
    <w:p>
      <w:pPr>
        <w:wordWrap w:val="0"/>
        <w:spacing w:line="560" w:lineRule="exact"/>
        <w:ind w:firstLine="643"/>
        <w:rPr>
          <w:b/>
          <w:sz w:val="32"/>
          <w:szCs w:val="32"/>
        </w:rPr>
      </w:pPr>
      <w:r>
        <w:rPr>
          <w:rFonts w:hint="eastAsia"/>
          <w:b/>
          <w:sz w:val="32"/>
          <w:szCs w:val="32"/>
        </w:rPr>
        <w:t>3.</w:t>
      </w:r>
      <w:r>
        <w:rPr>
          <w:rFonts w:hint="eastAsia"/>
          <w:b/>
          <w:sz w:val="32"/>
          <w:szCs w:val="32"/>
          <w:lang w:val="en-US" w:eastAsia="zh-CN"/>
        </w:rPr>
        <w:t>4</w:t>
      </w:r>
      <w:r>
        <w:rPr>
          <w:b/>
          <w:sz w:val="32"/>
          <w:szCs w:val="32"/>
        </w:rPr>
        <w:t xml:space="preserve"> 评选申报</w:t>
      </w:r>
    </w:p>
    <w:p>
      <w:pPr>
        <w:wordWrap w:val="0"/>
        <w:spacing w:line="560" w:lineRule="exact"/>
        <w:ind w:firstLine="640"/>
        <w:rPr>
          <w:rFonts w:hint="eastAsia"/>
          <w:sz w:val="32"/>
          <w:szCs w:val="32"/>
        </w:rPr>
      </w:pPr>
      <w:r>
        <w:rPr>
          <w:sz w:val="32"/>
          <w:szCs w:val="32"/>
        </w:rPr>
        <w:t>申报佛山市南海区优秀绿色建材</w:t>
      </w:r>
      <w:r>
        <w:rPr>
          <w:rFonts w:hint="eastAsia"/>
          <w:sz w:val="32"/>
          <w:szCs w:val="32"/>
          <w:lang w:val="en-US" w:eastAsia="zh-CN"/>
        </w:rPr>
        <w:t>应用</w:t>
      </w:r>
      <w:r>
        <w:rPr>
          <w:sz w:val="32"/>
          <w:szCs w:val="32"/>
        </w:rPr>
        <w:t>项目的单位，可根据工程进度按“施工许可阶段”和“竣工阶段”两个阶段进行申报。</w:t>
      </w:r>
      <w:r>
        <w:rPr>
          <w:rFonts w:hint="eastAsia"/>
          <w:sz w:val="32"/>
          <w:szCs w:val="32"/>
        </w:rPr>
        <w:t>不同阶段需要提供的申报材料如下所述。</w:t>
      </w:r>
    </w:p>
    <w:p>
      <w:pPr>
        <w:wordWrap w:val="0"/>
        <w:spacing w:line="560" w:lineRule="exact"/>
        <w:ind w:firstLine="643"/>
        <w:rPr>
          <w:b/>
          <w:sz w:val="32"/>
          <w:szCs w:val="32"/>
        </w:rPr>
      </w:pPr>
      <w:r>
        <w:rPr>
          <w:rFonts w:hint="eastAsia"/>
          <w:b/>
          <w:sz w:val="32"/>
          <w:szCs w:val="32"/>
        </w:rPr>
        <w:t>3</w:t>
      </w:r>
      <w:r>
        <w:rPr>
          <w:b/>
          <w:sz w:val="32"/>
          <w:szCs w:val="32"/>
        </w:rPr>
        <w:t>.</w:t>
      </w:r>
      <w:r>
        <w:rPr>
          <w:rFonts w:hint="eastAsia"/>
          <w:b/>
          <w:sz w:val="32"/>
          <w:szCs w:val="32"/>
          <w:lang w:val="en-US" w:eastAsia="zh-CN"/>
        </w:rPr>
        <w:t>4</w:t>
      </w:r>
      <w:r>
        <w:rPr>
          <w:b/>
          <w:sz w:val="32"/>
          <w:szCs w:val="32"/>
        </w:rPr>
        <w:t>.1 施工许可阶段，申报材料包括</w:t>
      </w:r>
      <w:r>
        <w:rPr>
          <w:rFonts w:hint="eastAsia"/>
          <w:b/>
          <w:sz w:val="32"/>
          <w:szCs w:val="32"/>
        </w:rPr>
        <w:t>但不限于</w:t>
      </w:r>
      <w:r>
        <w:rPr>
          <w:b/>
          <w:sz w:val="32"/>
          <w:szCs w:val="32"/>
        </w:rPr>
        <w:t>：</w:t>
      </w:r>
    </w:p>
    <w:p>
      <w:pPr>
        <w:wordWrap w:val="0"/>
        <w:spacing w:line="560" w:lineRule="exact"/>
        <w:ind w:firstLine="640"/>
        <w:rPr>
          <w:sz w:val="32"/>
          <w:szCs w:val="32"/>
        </w:rPr>
      </w:pPr>
      <w:r>
        <w:rPr>
          <w:rFonts w:hint="eastAsia"/>
          <w:sz w:val="32"/>
          <w:szCs w:val="32"/>
        </w:rPr>
        <w:t>（1）</w:t>
      </w:r>
      <w:r>
        <w:rPr>
          <w:sz w:val="32"/>
          <w:szCs w:val="32"/>
        </w:rPr>
        <w:t>申报书；</w:t>
      </w:r>
    </w:p>
    <w:p>
      <w:pPr>
        <w:wordWrap w:val="0"/>
        <w:spacing w:line="560" w:lineRule="exact"/>
        <w:ind w:firstLine="640"/>
        <w:rPr>
          <w:sz w:val="32"/>
          <w:szCs w:val="32"/>
        </w:rPr>
      </w:pPr>
      <w:r>
        <w:rPr>
          <w:rFonts w:hint="eastAsia"/>
          <w:sz w:val="32"/>
          <w:szCs w:val="32"/>
        </w:rPr>
        <w:t>（2）</w:t>
      </w:r>
      <w:r>
        <w:rPr>
          <w:sz w:val="32"/>
          <w:szCs w:val="32"/>
        </w:rPr>
        <w:t>施工许可证明（适用时）；</w:t>
      </w:r>
    </w:p>
    <w:p>
      <w:pPr>
        <w:wordWrap w:val="0"/>
        <w:spacing w:line="560" w:lineRule="exact"/>
        <w:ind w:firstLine="640"/>
        <w:rPr>
          <w:sz w:val="32"/>
          <w:szCs w:val="32"/>
        </w:rPr>
      </w:pPr>
      <w:r>
        <w:rPr>
          <w:rFonts w:hint="eastAsia"/>
          <w:sz w:val="32"/>
          <w:szCs w:val="32"/>
        </w:rPr>
        <w:t>（</w:t>
      </w:r>
      <w:r>
        <w:rPr>
          <w:sz w:val="32"/>
          <w:szCs w:val="32"/>
        </w:rPr>
        <w:t>3</w:t>
      </w:r>
      <w:r>
        <w:rPr>
          <w:rFonts w:hint="eastAsia"/>
          <w:sz w:val="32"/>
          <w:szCs w:val="32"/>
        </w:rPr>
        <w:t>）</w:t>
      </w:r>
      <w:r>
        <w:rPr>
          <w:sz w:val="32"/>
          <w:szCs w:val="32"/>
        </w:rPr>
        <w:t>绿色建材设计专篇；</w:t>
      </w:r>
    </w:p>
    <w:p>
      <w:pPr>
        <w:wordWrap w:val="0"/>
        <w:spacing w:line="560" w:lineRule="exact"/>
        <w:ind w:firstLine="640"/>
        <w:rPr>
          <w:sz w:val="32"/>
          <w:szCs w:val="32"/>
        </w:rPr>
      </w:pPr>
      <w:r>
        <w:rPr>
          <w:rFonts w:hint="eastAsia"/>
          <w:sz w:val="32"/>
          <w:szCs w:val="32"/>
        </w:rPr>
        <w:t>（</w:t>
      </w:r>
      <w:r>
        <w:rPr>
          <w:sz w:val="32"/>
          <w:szCs w:val="32"/>
        </w:rPr>
        <w:t>4</w:t>
      </w:r>
      <w:r>
        <w:rPr>
          <w:rFonts w:hint="eastAsia"/>
          <w:sz w:val="32"/>
          <w:szCs w:val="32"/>
        </w:rPr>
        <w:t>）</w:t>
      </w:r>
      <w:r>
        <w:rPr>
          <w:sz w:val="32"/>
          <w:szCs w:val="32"/>
        </w:rPr>
        <w:t>项目绿色建材应用比例预算书；</w:t>
      </w:r>
    </w:p>
    <w:p>
      <w:pPr>
        <w:wordWrap w:val="0"/>
        <w:spacing w:line="560" w:lineRule="exact"/>
        <w:ind w:firstLine="640"/>
        <w:rPr>
          <w:rFonts w:hint="eastAsia"/>
          <w:sz w:val="32"/>
          <w:szCs w:val="32"/>
          <w:lang w:eastAsia="zh-CN"/>
        </w:rPr>
      </w:pPr>
      <w:r>
        <w:rPr>
          <w:rFonts w:hint="eastAsia"/>
          <w:sz w:val="32"/>
          <w:szCs w:val="32"/>
          <w:lang w:eastAsia="zh-CN"/>
        </w:rPr>
        <w:t>（</w:t>
      </w:r>
      <w:r>
        <w:rPr>
          <w:rFonts w:hint="eastAsia"/>
          <w:sz w:val="32"/>
          <w:szCs w:val="32"/>
          <w:lang w:val="en-US" w:eastAsia="zh-CN"/>
        </w:rPr>
        <w:t>5</w:t>
      </w:r>
      <w:r>
        <w:rPr>
          <w:rFonts w:hint="eastAsia"/>
          <w:sz w:val="32"/>
          <w:szCs w:val="32"/>
          <w:lang w:eastAsia="zh-CN"/>
        </w:rPr>
        <w:t>）绿色建材采购计划表；</w:t>
      </w:r>
    </w:p>
    <w:p>
      <w:pPr>
        <w:wordWrap w:val="0"/>
        <w:spacing w:line="560" w:lineRule="exact"/>
        <w:ind w:firstLine="640"/>
        <w:rPr>
          <w:rFonts w:hint="eastAsia"/>
          <w:sz w:val="32"/>
          <w:szCs w:val="32"/>
          <w:lang w:eastAsia="zh-CN"/>
        </w:rPr>
      </w:pPr>
      <w:r>
        <w:rPr>
          <w:rFonts w:hint="eastAsia"/>
          <w:sz w:val="32"/>
          <w:szCs w:val="32"/>
          <w:lang w:eastAsia="zh-CN"/>
        </w:rPr>
        <w:t>（</w:t>
      </w:r>
      <w:r>
        <w:rPr>
          <w:rFonts w:hint="eastAsia"/>
          <w:sz w:val="32"/>
          <w:szCs w:val="32"/>
          <w:lang w:val="en-US" w:eastAsia="zh-CN"/>
        </w:rPr>
        <w:t>6</w:t>
      </w:r>
      <w:r>
        <w:rPr>
          <w:rFonts w:hint="eastAsia"/>
          <w:sz w:val="32"/>
          <w:szCs w:val="32"/>
          <w:lang w:eastAsia="zh-CN"/>
        </w:rPr>
        <w:t>）绿色建材使用承诺书；</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7</w:t>
      </w:r>
      <w:r>
        <w:rPr>
          <w:rFonts w:hint="eastAsia"/>
          <w:sz w:val="32"/>
          <w:szCs w:val="32"/>
        </w:rPr>
        <w:t>）</w:t>
      </w:r>
      <w:r>
        <w:rPr>
          <w:sz w:val="32"/>
          <w:szCs w:val="32"/>
        </w:rPr>
        <w:t>项目绿色建材采购管理制度；</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8</w:t>
      </w:r>
      <w:r>
        <w:rPr>
          <w:rFonts w:hint="eastAsia"/>
          <w:sz w:val="32"/>
          <w:szCs w:val="32"/>
        </w:rPr>
        <w:t>）</w:t>
      </w:r>
      <w:r>
        <w:rPr>
          <w:sz w:val="32"/>
          <w:szCs w:val="32"/>
        </w:rPr>
        <w:t>施工单位绿色建材质量控制制度；</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9</w:t>
      </w:r>
      <w:r>
        <w:rPr>
          <w:rFonts w:hint="eastAsia"/>
          <w:sz w:val="32"/>
          <w:szCs w:val="32"/>
        </w:rPr>
        <w:t>）</w:t>
      </w:r>
      <w:r>
        <w:rPr>
          <w:sz w:val="32"/>
          <w:szCs w:val="32"/>
        </w:rPr>
        <w:t>监理单位绿色建材质量监督管理制度；</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10</w:t>
      </w:r>
      <w:r>
        <w:rPr>
          <w:rFonts w:hint="eastAsia"/>
          <w:sz w:val="32"/>
          <w:szCs w:val="32"/>
        </w:rPr>
        <w:t>）</w:t>
      </w:r>
      <w:r>
        <w:rPr>
          <w:sz w:val="32"/>
          <w:szCs w:val="32"/>
        </w:rPr>
        <w:t>项目满足创新引领要求的有关证明文件，例如：项目应用绿色建材减碳效益量化预分析报告、项目建筑碳排放计算预分析报告、建材产品碳足迹报告等。</w:t>
      </w:r>
    </w:p>
    <w:p>
      <w:pPr>
        <w:wordWrap w:val="0"/>
        <w:spacing w:line="560" w:lineRule="exact"/>
        <w:ind w:firstLine="643"/>
        <w:rPr>
          <w:b/>
          <w:sz w:val="32"/>
          <w:szCs w:val="32"/>
        </w:rPr>
      </w:pPr>
      <w:r>
        <w:rPr>
          <w:rFonts w:hint="eastAsia"/>
          <w:b/>
          <w:sz w:val="32"/>
          <w:szCs w:val="32"/>
        </w:rPr>
        <w:t>3</w:t>
      </w:r>
      <w:r>
        <w:rPr>
          <w:b/>
          <w:sz w:val="32"/>
          <w:szCs w:val="32"/>
        </w:rPr>
        <w:t>.</w:t>
      </w:r>
      <w:r>
        <w:rPr>
          <w:rFonts w:hint="eastAsia"/>
          <w:b/>
          <w:sz w:val="32"/>
          <w:szCs w:val="32"/>
          <w:lang w:val="en-US" w:eastAsia="zh-CN"/>
        </w:rPr>
        <w:t>4</w:t>
      </w:r>
      <w:r>
        <w:rPr>
          <w:b/>
          <w:sz w:val="32"/>
          <w:szCs w:val="32"/>
        </w:rPr>
        <w:t>.2 竣工阶段，申报材料包括</w:t>
      </w:r>
      <w:r>
        <w:rPr>
          <w:rFonts w:hint="eastAsia"/>
          <w:b/>
          <w:sz w:val="32"/>
          <w:szCs w:val="32"/>
        </w:rPr>
        <w:t>但不限于</w:t>
      </w:r>
      <w:r>
        <w:rPr>
          <w:b/>
          <w:sz w:val="32"/>
          <w:szCs w:val="32"/>
        </w:rPr>
        <w:t>：</w:t>
      </w:r>
    </w:p>
    <w:p>
      <w:pPr>
        <w:wordWrap w:val="0"/>
        <w:spacing w:line="560" w:lineRule="exact"/>
        <w:ind w:firstLine="640"/>
        <w:rPr>
          <w:sz w:val="32"/>
          <w:szCs w:val="32"/>
        </w:rPr>
      </w:pPr>
      <w:r>
        <w:rPr>
          <w:rFonts w:hint="eastAsia"/>
          <w:sz w:val="32"/>
          <w:szCs w:val="32"/>
        </w:rPr>
        <w:t>（1）</w:t>
      </w:r>
      <w:r>
        <w:rPr>
          <w:sz w:val="32"/>
          <w:szCs w:val="32"/>
        </w:rPr>
        <w:t>申报书；</w:t>
      </w:r>
    </w:p>
    <w:p>
      <w:pPr>
        <w:wordWrap w:val="0"/>
        <w:spacing w:line="560" w:lineRule="exact"/>
        <w:ind w:firstLine="640"/>
        <w:rPr>
          <w:sz w:val="32"/>
          <w:szCs w:val="32"/>
        </w:rPr>
      </w:pPr>
      <w:r>
        <w:rPr>
          <w:rFonts w:hint="eastAsia"/>
          <w:sz w:val="32"/>
          <w:szCs w:val="32"/>
        </w:rPr>
        <w:t>（</w:t>
      </w:r>
      <w:r>
        <w:rPr>
          <w:sz w:val="32"/>
          <w:szCs w:val="32"/>
        </w:rPr>
        <w:t>2</w:t>
      </w:r>
      <w:r>
        <w:rPr>
          <w:rFonts w:hint="eastAsia"/>
          <w:sz w:val="32"/>
          <w:szCs w:val="32"/>
        </w:rPr>
        <w:t>）</w:t>
      </w:r>
      <w:r>
        <w:rPr>
          <w:sz w:val="32"/>
          <w:szCs w:val="32"/>
        </w:rPr>
        <w:t>竣工验收证明（适用时）；</w:t>
      </w:r>
    </w:p>
    <w:p>
      <w:pPr>
        <w:wordWrap w:val="0"/>
        <w:spacing w:line="560" w:lineRule="exact"/>
        <w:ind w:firstLine="640"/>
        <w:rPr>
          <w:sz w:val="32"/>
          <w:szCs w:val="32"/>
        </w:rPr>
      </w:pPr>
      <w:r>
        <w:rPr>
          <w:rFonts w:hint="eastAsia"/>
          <w:sz w:val="32"/>
          <w:szCs w:val="32"/>
        </w:rPr>
        <w:t>（</w:t>
      </w:r>
      <w:r>
        <w:rPr>
          <w:sz w:val="32"/>
          <w:szCs w:val="32"/>
        </w:rPr>
        <w:t>3</w:t>
      </w:r>
      <w:r>
        <w:rPr>
          <w:rFonts w:hint="eastAsia"/>
          <w:sz w:val="32"/>
          <w:szCs w:val="32"/>
        </w:rPr>
        <w:t>）</w:t>
      </w:r>
      <w:r>
        <w:rPr>
          <w:sz w:val="32"/>
          <w:szCs w:val="32"/>
        </w:rPr>
        <w:t>项目绿色建材应用比例计算书；</w:t>
      </w:r>
    </w:p>
    <w:p>
      <w:pPr>
        <w:wordWrap w:val="0"/>
        <w:spacing w:line="560" w:lineRule="exact"/>
        <w:ind w:firstLine="640"/>
        <w:rPr>
          <w:sz w:val="32"/>
          <w:szCs w:val="32"/>
        </w:rPr>
      </w:pPr>
      <w:r>
        <w:rPr>
          <w:rFonts w:hint="eastAsia"/>
          <w:sz w:val="32"/>
          <w:szCs w:val="32"/>
        </w:rPr>
        <w:t>（</w:t>
      </w:r>
      <w:r>
        <w:rPr>
          <w:sz w:val="32"/>
          <w:szCs w:val="32"/>
        </w:rPr>
        <w:t>4</w:t>
      </w:r>
      <w:r>
        <w:rPr>
          <w:rFonts w:hint="eastAsia"/>
          <w:sz w:val="32"/>
          <w:szCs w:val="32"/>
        </w:rPr>
        <w:t>）</w:t>
      </w:r>
      <w:r>
        <w:rPr>
          <w:sz w:val="32"/>
          <w:szCs w:val="32"/>
        </w:rPr>
        <w:t>绿色建材应用实施总结报告（包含但不限于可展示项目实现绿色建材应用目标的各项措施、手段、成本、效益等的分析说明）；</w:t>
      </w:r>
    </w:p>
    <w:p>
      <w:pPr>
        <w:wordWrap w:val="0"/>
        <w:spacing w:line="560" w:lineRule="exact"/>
        <w:ind w:firstLine="640"/>
        <w:rPr>
          <w:sz w:val="32"/>
          <w:szCs w:val="32"/>
        </w:rPr>
      </w:pPr>
      <w:r>
        <w:rPr>
          <w:rFonts w:hint="eastAsia"/>
          <w:sz w:val="32"/>
          <w:szCs w:val="32"/>
        </w:rPr>
        <w:t>（</w:t>
      </w:r>
      <w:r>
        <w:rPr>
          <w:sz w:val="32"/>
          <w:szCs w:val="32"/>
        </w:rPr>
        <w:t>5</w:t>
      </w:r>
      <w:r>
        <w:rPr>
          <w:rFonts w:hint="eastAsia"/>
          <w:sz w:val="32"/>
          <w:szCs w:val="32"/>
        </w:rPr>
        <w:t>）</w:t>
      </w:r>
      <w:r>
        <w:rPr>
          <w:sz w:val="32"/>
          <w:szCs w:val="32"/>
        </w:rPr>
        <w:t>项目所用绿色建材满足《佛山市绿色建材基本要求》的检测报告（每种材料至少提供1份，检测报告应由具备CMA资质的机构出具）；</w:t>
      </w:r>
    </w:p>
    <w:p>
      <w:pPr>
        <w:wordWrap w:val="0"/>
        <w:spacing w:line="560" w:lineRule="exact"/>
        <w:ind w:firstLine="640"/>
        <w:rPr>
          <w:sz w:val="32"/>
          <w:szCs w:val="32"/>
        </w:rPr>
      </w:pPr>
      <w:r>
        <w:rPr>
          <w:rFonts w:hint="eastAsia"/>
          <w:sz w:val="32"/>
          <w:szCs w:val="32"/>
        </w:rPr>
        <w:t>（</w:t>
      </w:r>
      <w:r>
        <w:rPr>
          <w:sz w:val="32"/>
          <w:szCs w:val="32"/>
        </w:rPr>
        <w:t>6</w:t>
      </w:r>
      <w:r>
        <w:rPr>
          <w:rFonts w:hint="eastAsia"/>
          <w:sz w:val="32"/>
          <w:szCs w:val="32"/>
        </w:rPr>
        <w:t>）</w:t>
      </w:r>
      <w:r>
        <w:rPr>
          <w:sz w:val="32"/>
          <w:szCs w:val="32"/>
        </w:rPr>
        <w:t>项目满足创新引领要求的有关证明文件，例如：项目应用绿色建材减碳效益量化预分析报告、项目建筑碳排放计算预分析报告、建材产品碳足迹报告等。</w:t>
      </w:r>
    </w:p>
    <w:p>
      <w:pPr>
        <w:wordWrap w:val="0"/>
        <w:spacing w:line="560" w:lineRule="exact"/>
        <w:ind w:firstLine="640"/>
        <w:rPr>
          <w:sz w:val="32"/>
          <w:szCs w:val="32"/>
        </w:rPr>
      </w:pPr>
      <w:r>
        <w:rPr>
          <w:rFonts w:hint="eastAsia"/>
          <w:sz w:val="32"/>
          <w:szCs w:val="32"/>
        </w:rPr>
        <w:t>（</w:t>
      </w:r>
      <w:r>
        <w:rPr>
          <w:sz w:val="32"/>
          <w:szCs w:val="32"/>
        </w:rPr>
        <w:t>7</w:t>
      </w:r>
      <w:r>
        <w:rPr>
          <w:rFonts w:hint="eastAsia"/>
          <w:sz w:val="32"/>
          <w:szCs w:val="32"/>
        </w:rPr>
        <w:t>）</w:t>
      </w:r>
      <w:r>
        <w:rPr>
          <w:sz w:val="32"/>
          <w:szCs w:val="32"/>
        </w:rPr>
        <w:t>其他可反映项目具备良好的应用效果和行业引领特性、可复制可推广的分析说明材料。</w:t>
      </w:r>
    </w:p>
    <w:p>
      <w:pPr>
        <w:wordWrap w:val="0"/>
        <w:spacing w:line="560" w:lineRule="exact"/>
        <w:ind w:firstLine="643"/>
        <w:rPr>
          <w:b/>
          <w:sz w:val="32"/>
          <w:szCs w:val="32"/>
        </w:rPr>
      </w:pPr>
      <w:r>
        <w:rPr>
          <w:rFonts w:hint="eastAsia"/>
          <w:b/>
          <w:sz w:val="32"/>
          <w:szCs w:val="32"/>
        </w:rPr>
        <w:t>3</w:t>
      </w:r>
      <w:r>
        <w:rPr>
          <w:b/>
          <w:sz w:val="32"/>
          <w:szCs w:val="32"/>
        </w:rPr>
        <w:t>.</w:t>
      </w:r>
      <w:r>
        <w:rPr>
          <w:rFonts w:hint="eastAsia"/>
          <w:b/>
          <w:sz w:val="32"/>
          <w:szCs w:val="32"/>
          <w:lang w:val="en-US" w:eastAsia="zh-CN"/>
        </w:rPr>
        <w:t>5</w:t>
      </w:r>
      <w:r>
        <w:rPr>
          <w:b/>
          <w:sz w:val="32"/>
          <w:szCs w:val="32"/>
        </w:rPr>
        <w:t xml:space="preserve"> </w:t>
      </w:r>
      <w:r>
        <w:rPr>
          <w:rFonts w:hint="eastAsia"/>
          <w:b/>
          <w:sz w:val="32"/>
          <w:szCs w:val="32"/>
        </w:rPr>
        <w:t>专家评审</w:t>
      </w:r>
    </w:p>
    <w:p>
      <w:pPr>
        <w:wordWrap w:val="0"/>
        <w:spacing w:line="560" w:lineRule="exact"/>
        <w:ind w:firstLine="640"/>
        <w:rPr>
          <w:sz w:val="32"/>
          <w:szCs w:val="32"/>
        </w:rPr>
      </w:pPr>
      <w:r>
        <w:rPr>
          <w:rFonts w:hint="eastAsia"/>
          <w:sz w:val="32"/>
          <w:szCs w:val="32"/>
        </w:rPr>
        <w:t>（1）</w:t>
      </w:r>
      <w:r>
        <w:rPr>
          <w:sz w:val="32"/>
          <w:szCs w:val="32"/>
        </w:rPr>
        <w:t>由佛山市南海区工程勘察设计咨询协会组织绿色建材应用相关技术专家进行资料评审，必要时进行现场核查。</w:t>
      </w:r>
    </w:p>
    <w:p>
      <w:pPr>
        <w:wordWrap w:val="0"/>
        <w:spacing w:line="560" w:lineRule="exact"/>
        <w:ind w:firstLine="640"/>
        <w:rPr>
          <w:sz w:val="32"/>
          <w:szCs w:val="32"/>
        </w:rPr>
      </w:pPr>
      <w:r>
        <w:rPr>
          <w:rFonts w:hint="eastAsia"/>
          <w:sz w:val="32"/>
          <w:szCs w:val="32"/>
        </w:rPr>
        <w:t>（2）</w:t>
      </w:r>
      <w:r>
        <w:rPr>
          <w:sz w:val="32"/>
          <w:szCs w:val="32"/>
        </w:rPr>
        <w:t>专家评审按基础要求合规性、技术要求符合性、全过程管理要求一致性、创新引领要求符合性进行评分。项目总得分为四部分评分结果的加和，计算公式如下：</w:t>
      </w:r>
    </w:p>
    <w:p>
      <w:pPr>
        <w:wordWrap w:val="0"/>
        <w:spacing w:line="560" w:lineRule="exact"/>
        <w:ind w:firstLine="640"/>
        <w:jc w:val="center"/>
        <w:rPr>
          <w:sz w:val="32"/>
          <w:szCs w:val="28"/>
          <w:vertAlign w:val="subscript"/>
        </w:rPr>
      </w:pPr>
      <w:r>
        <w:rPr>
          <w:sz w:val="32"/>
          <w:szCs w:val="28"/>
        </w:rPr>
        <w:t>Q=Q</w:t>
      </w:r>
      <w:r>
        <w:rPr>
          <w:sz w:val="32"/>
          <w:szCs w:val="28"/>
          <w:vertAlign w:val="subscript"/>
        </w:rPr>
        <w:t>1</w:t>
      </w:r>
      <w:r>
        <w:rPr>
          <w:sz w:val="32"/>
          <w:szCs w:val="28"/>
        </w:rPr>
        <w:t>+Q</w:t>
      </w:r>
      <w:r>
        <w:rPr>
          <w:sz w:val="32"/>
          <w:szCs w:val="28"/>
          <w:vertAlign w:val="subscript"/>
        </w:rPr>
        <w:t>2</w:t>
      </w:r>
      <w:r>
        <w:rPr>
          <w:sz w:val="32"/>
          <w:szCs w:val="28"/>
        </w:rPr>
        <w:t>+Q</w:t>
      </w:r>
      <w:r>
        <w:rPr>
          <w:sz w:val="32"/>
          <w:szCs w:val="28"/>
          <w:vertAlign w:val="subscript"/>
        </w:rPr>
        <w:t>3</w:t>
      </w:r>
      <w:r>
        <w:rPr>
          <w:sz w:val="32"/>
          <w:szCs w:val="28"/>
        </w:rPr>
        <w:t>+Q</w:t>
      </w:r>
      <w:r>
        <w:rPr>
          <w:sz w:val="32"/>
          <w:szCs w:val="28"/>
          <w:vertAlign w:val="subscript"/>
        </w:rPr>
        <w:t>4</w:t>
      </w:r>
    </w:p>
    <w:p>
      <w:pPr>
        <w:wordWrap w:val="0"/>
        <w:spacing w:line="560" w:lineRule="exact"/>
        <w:ind w:firstLine="640"/>
        <w:rPr>
          <w:sz w:val="32"/>
          <w:szCs w:val="32"/>
        </w:rPr>
      </w:pPr>
      <w:r>
        <w:rPr>
          <w:sz w:val="32"/>
          <w:szCs w:val="32"/>
        </w:rPr>
        <w:t>式中：</w:t>
      </w:r>
      <w:r>
        <w:rPr>
          <w:i/>
          <w:sz w:val="32"/>
          <w:szCs w:val="32"/>
        </w:rPr>
        <w:t>Q</w:t>
      </w:r>
      <w:r>
        <w:rPr>
          <w:sz w:val="32"/>
          <w:szCs w:val="32"/>
        </w:rPr>
        <w:t>——绿色建材应用项目总得分</w:t>
      </w:r>
    </w:p>
    <w:p>
      <w:pPr>
        <w:wordWrap w:val="0"/>
        <w:spacing w:line="560" w:lineRule="exact"/>
        <w:ind w:firstLine="1600" w:firstLineChars="500"/>
        <w:rPr>
          <w:i/>
          <w:iCs/>
          <w:sz w:val="32"/>
          <w:szCs w:val="32"/>
        </w:rPr>
      </w:pPr>
      <w:r>
        <w:rPr>
          <w:i/>
          <w:iCs/>
          <w:sz w:val="32"/>
          <w:szCs w:val="32"/>
        </w:rPr>
        <w:t>Q</w:t>
      </w:r>
      <w:r>
        <w:rPr>
          <w:i/>
          <w:iCs/>
          <w:sz w:val="32"/>
          <w:szCs w:val="32"/>
          <w:vertAlign w:val="subscript"/>
        </w:rPr>
        <w:t>1</w:t>
      </w:r>
      <w:r>
        <w:rPr>
          <w:sz w:val="32"/>
          <w:szCs w:val="32"/>
        </w:rPr>
        <w:t>——基础要求实际得分值；</w:t>
      </w:r>
    </w:p>
    <w:p>
      <w:pPr>
        <w:wordWrap w:val="0"/>
        <w:spacing w:line="560" w:lineRule="exact"/>
        <w:ind w:firstLine="1600" w:firstLineChars="500"/>
        <w:rPr>
          <w:i/>
          <w:iCs/>
          <w:sz w:val="32"/>
          <w:szCs w:val="32"/>
        </w:rPr>
      </w:pPr>
      <w:r>
        <w:rPr>
          <w:i/>
          <w:iCs/>
          <w:sz w:val="32"/>
          <w:szCs w:val="32"/>
        </w:rPr>
        <w:t>Q</w:t>
      </w:r>
      <w:r>
        <w:rPr>
          <w:i/>
          <w:iCs/>
          <w:sz w:val="32"/>
          <w:szCs w:val="32"/>
          <w:vertAlign w:val="subscript"/>
        </w:rPr>
        <w:t>2</w:t>
      </w:r>
      <w:r>
        <w:rPr>
          <w:sz w:val="32"/>
          <w:szCs w:val="32"/>
        </w:rPr>
        <w:t>——技术要求实际得分值；</w:t>
      </w:r>
    </w:p>
    <w:p>
      <w:pPr>
        <w:wordWrap w:val="0"/>
        <w:spacing w:line="560" w:lineRule="exact"/>
        <w:ind w:firstLine="1600" w:firstLineChars="500"/>
        <w:rPr>
          <w:i/>
          <w:iCs/>
          <w:sz w:val="32"/>
          <w:szCs w:val="32"/>
        </w:rPr>
      </w:pPr>
      <w:r>
        <w:rPr>
          <w:i/>
          <w:iCs/>
          <w:sz w:val="32"/>
          <w:szCs w:val="32"/>
        </w:rPr>
        <w:t>Q</w:t>
      </w:r>
      <w:r>
        <w:rPr>
          <w:i/>
          <w:iCs/>
          <w:sz w:val="32"/>
          <w:szCs w:val="32"/>
          <w:vertAlign w:val="subscript"/>
        </w:rPr>
        <w:t>3</w:t>
      </w:r>
      <w:r>
        <w:rPr>
          <w:sz w:val="32"/>
          <w:szCs w:val="32"/>
        </w:rPr>
        <w:t>——全过程管理要求实际得分值；</w:t>
      </w:r>
    </w:p>
    <w:p>
      <w:pPr>
        <w:wordWrap w:val="0"/>
        <w:spacing w:line="560" w:lineRule="exact"/>
        <w:ind w:firstLine="1600" w:firstLineChars="500"/>
        <w:rPr>
          <w:i/>
          <w:iCs/>
          <w:sz w:val="32"/>
          <w:szCs w:val="32"/>
        </w:rPr>
      </w:pPr>
      <w:r>
        <w:rPr>
          <w:i/>
          <w:iCs/>
          <w:sz w:val="32"/>
          <w:szCs w:val="32"/>
        </w:rPr>
        <w:t>Q</w:t>
      </w:r>
      <w:r>
        <w:rPr>
          <w:i/>
          <w:iCs/>
          <w:sz w:val="32"/>
          <w:szCs w:val="32"/>
          <w:vertAlign w:val="subscript"/>
        </w:rPr>
        <w:t>4</w:t>
      </w:r>
      <w:r>
        <w:rPr>
          <w:sz w:val="32"/>
          <w:szCs w:val="32"/>
        </w:rPr>
        <w:t>——创新引领要求实际得分值</w:t>
      </w:r>
    </w:p>
    <w:p>
      <w:pPr>
        <w:wordWrap w:val="0"/>
        <w:spacing w:line="560" w:lineRule="exact"/>
        <w:ind w:firstLine="640"/>
        <w:rPr>
          <w:sz w:val="32"/>
          <w:szCs w:val="32"/>
        </w:rPr>
      </w:pPr>
      <w:r>
        <w:rPr>
          <w:rFonts w:hint="eastAsia"/>
          <w:sz w:val="32"/>
          <w:szCs w:val="32"/>
        </w:rPr>
        <w:t>（</w:t>
      </w:r>
      <w:r>
        <w:rPr>
          <w:rFonts w:hint="eastAsia"/>
          <w:sz w:val="32"/>
          <w:szCs w:val="32"/>
          <w:lang w:val="en-US" w:eastAsia="zh-CN"/>
        </w:rPr>
        <w:t>3</w:t>
      </w:r>
      <w:r>
        <w:rPr>
          <w:rFonts w:hint="eastAsia"/>
          <w:sz w:val="32"/>
          <w:szCs w:val="32"/>
        </w:rPr>
        <w:t>）评审结束后，由</w:t>
      </w:r>
      <w:r>
        <w:rPr>
          <w:sz w:val="32"/>
          <w:szCs w:val="32"/>
        </w:rPr>
        <w:t>佛山市南海区工程勘察设计咨询协会按总得分评出南海区优秀绿色建材</w:t>
      </w:r>
      <w:r>
        <w:rPr>
          <w:rFonts w:hint="eastAsia"/>
          <w:sz w:val="32"/>
          <w:szCs w:val="32"/>
          <w:lang w:val="en-US" w:eastAsia="zh-CN"/>
        </w:rPr>
        <w:t>应用</w:t>
      </w:r>
      <w:r>
        <w:rPr>
          <w:sz w:val="32"/>
          <w:szCs w:val="32"/>
        </w:rPr>
        <w:t>项目。</w:t>
      </w:r>
    </w:p>
    <w:p>
      <w:pPr>
        <w:wordWrap w:val="0"/>
        <w:spacing w:line="560" w:lineRule="exact"/>
        <w:ind w:firstLine="643"/>
        <w:rPr>
          <w:b/>
          <w:sz w:val="32"/>
          <w:szCs w:val="32"/>
        </w:rPr>
      </w:pPr>
      <w:r>
        <w:rPr>
          <w:rFonts w:hint="eastAsia"/>
          <w:b/>
          <w:sz w:val="32"/>
          <w:szCs w:val="32"/>
        </w:rPr>
        <w:t>3</w:t>
      </w:r>
      <w:r>
        <w:rPr>
          <w:b/>
          <w:sz w:val="32"/>
          <w:szCs w:val="32"/>
        </w:rPr>
        <w:t>.</w:t>
      </w:r>
      <w:r>
        <w:rPr>
          <w:rFonts w:hint="eastAsia"/>
          <w:b/>
          <w:sz w:val="32"/>
          <w:szCs w:val="32"/>
          <w:lang w:val="en-US" w:eastAsia="zh-CN"/>
        </w:rPr>
        <w:t>6</w:t>
      </w:r>
      <w:r>
        <w:rPr>
          <w:b/>
          <w:sz w:val="32"/>
          <w:szCs w:val="32"/>
        </w:rPr>
        <w:t xml:space="preserve"> 公示公告</w:t>
      </w:r>
    </w:p>
    <w:p>
      <w:pPr>
        <w:wordWrap w:val="0"/>
        <w:spacing w:line="560" w:lineRule="exact"/>
        <w:ind w:firstLine="640"/>
        <w:rPr>
          <w:sz w:val="32"/>
          <w:szCs w:val="32"/>
        </w:rPr>
      </w:pPr>
      <w:r>
        <w:rPr>
          <w:rFonts w:hint="eastAsia"/>
          <w:sz w:val="32"/>
          <w:szCs w:val="32"/>
        </w:rPr>
        <w:t>佛山市南海区工程勘察设计咨询协会</w:t>
      </w:r>
      <w:r>
        <w:rPr>
          <w:sz w:val="32"/>
          <w:szCs w:val="32"/>
        </w:rPr>
        <w:t>对拟选优秀项目进行公示，公示无异议的认定为南海区优秀绿色建材</w:t>
      </w:r>
      <w:r>
        <w:rPr>
          <w:rFonts w:hint="eastAsia"/>
          <w:sz w:val="32"/>
          <w:szCs w:val="32"/>
          <w:lang w:val="en-US" w:eastAsia="zh-CN"/>
        </w:rPr>
        <w:t>应用</w:t>
      </w:r>
      <w:r>
        <w:rPr>
          <w:sz w:val="32"/>
          <w:szCs w:val="32"/>
        </w:rPr>
        <w:t>项目，并授发优秀项目证书。</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4 其他规定</w:t>
      </w:r>
    </w:p>
    <w:p>
      <w:pPr>
        <w:wordWrap w:val="0"/>
        <w:spacing w:line="560" w:lineRule="exact"/>
        <w:ind w:firstLine="640"/>
        <w:rPr>
          <w:sz w:val="32"/>
          <w:szCs w:val="32"/>
        </w:rPr>
      </w:pPr>
      <w:r>
        <w:rPr>
          <w:sz w:val="32"/>
          <w:szCs w:val="32"/>
        </w:rPr>
        <w:t>优秀项目组织实施过程中出现下列情况之一的，撤销其优秀项目认定。</w:t>
      </w:r>
    </w:p>
    <w:p>
      <w:pPr>
        <w:wordWrap w:val="0"/>
        <w:spacing w:line="560" w:lineRule="exact"/>
        <w:ind w:firstLine="640"/>
        <w:rPr>
          <w:sz w:val="32"/>
          <w:szCs w:val="32"/>
        </w:rPr>
      </w:pPr>
      <w:r>
        <w:rPr>
          <w:rFonts w:hint="eastAsia"/>
          <w:sz w:val="32"/>
          <w:szCs w:val="32"/>
        </w:rPr>
        <w:t>（1）</w:t>
      </w:r>
      <w:r>
        <w:rPr>
          <w:sz w:val="32"/>
          <w:szCs w:val="32"/>
        </w:rPr>
        <w:t>未按规定程序和经施工图审查合格的设计文件要求组织实施；</w:t>
      </w:r>
    </w:p>
    <w:p>
      <w:pPr>
        <w:wordWrap w:val="0"/>
        <w:spacing w:line="560" w:lineRule="exact"/>
        <w:ind w:firstLine="640"/>
        <w:rPr>
          <w:sz w:val="32"/>
          <w:szCs w:val="32"/>
        </w:rPr>
      </w:pPr>
      <w:r>
        <w:rPr>
          <w:rFonts w:hint="eastAsia"/>
          <w:sz w:val="32"/>
          <w:szCs w:val="32"/>
        </w:rPr>
        <w:t>（2）</w:t>
      </w:r>
      <w:r>
        <w:rPr>
          <w:sz w:val="32"/>
          <w:szCs w:val="32"/>
        </w:rPr>
        <w:t>违反国家和省建设工程质量安全管理有关规定受到行政处罚；</w:t>
      </w:r>
    </w:p>
    <w:p>
      <w:pPr>
        <w:wordWrap w:val="0"/>
        <w:spacing w:line="560" w:lineRule="exact"/>
        <w:ind w:firstLine="640"/>
        <w:rPr>
          <w:sz w:val="32"/>
          <w:szCs w:val="32"/>
        </w:rPr>
      </w:pPr>
      <w:r>
        <w:rPr>
          <w:rFonts w:hint="eastAsia"/>
          <w:sz w:val="32"/>
          <w:szCs w:val="32"/>
        </w:rPr>
        <w:t>（3）</w:t>
      </w:r>
      <w:r>
        <w:rPr>
          <w:sz w:val="32"/>
          <w:szCs w:val="32"/>
        </w:rPr>
        <w:t>发生质量事故、较大及以上生产安全事故的；</w:t>
      </w:r>
    </w:p>
    <w:p>
      <w:pPr>
        <w:wordWrap w:val="0"/>
        <w:spacing w:line="560" w:lineRule="exact"/>
        <w:ind w:firstLine="640"/>
        <w:rPr>
          <w:sz w:val="32"/>
          <w:szCs w:val="32"/>
        </w:rPr>
      </w:pPr>
      <w:r>
        <w:rPr>
          <w:rFonts w:hint="eastAsia"/>
          <w:sz w:val="32"/>
          <w:szCs w:val="32"/>
        </w:rPr>
        <w:t>（4）</w:t>
      </w:r>
      <w:r>
        <w:rPr>
          <w:sz w:val="32"/>
          <w:szCs w:val="32"/>
        </w:rPr>
        <w:t>提供虚假资料。</w:t>
      </w:r>
    </w:p>
    <w:p>
      <w:pPr>
        <w:pStyle w:val="4"/>
        <w:numPr>
          <w:ilvl w:val="0"/>
          <w:numId w:val="0"/>
        </w:numPr>
        <w:kinsoku w:val="0"/>
        <w:wordWrap w:val="0"/>
        <w:autoSpaceDE w:val="0"/>
        <w:autoSpaceDN w:val="0"/>
        <w:adjustRightInd w:val="0"/>
        <w:snapToGrid w:val="0"/>
        <w:spacing w:before="312" w:beforeLines="100" w:after="312" w:afterLines="100" w:line="560" w:lineRule="exact"/>
        <w:ind w:left="240"/>
        <w:textAlignment w:val="baseline"/>
        <w:rPr>
          <w:rFonts w:ascii="Times New Roman" w:hAnsi="Times New Roman" w:eastAsia="黑体"/>
          <w:sz w:val="32"/>
        </w:rPr>
      </w:pPr>
      <w:r>
        <w:rPr>
          <w:rFonts w:ascii="Times New Roman" w:hAnsi="Times New Roman" w:eastAsia="黑体"/>
          <w:sz w:val="32"/>
        </w:rPr>
        <w:t>5 附  则</w:t>
      </w:r>
    </w:p>
    <w:p>
      <w:pPr>
        <w:wordWrap w:val="0"/>
        <w:spacing w:line="560" w:lineRule="exact"/>
        <w:ind w:firstLine="640"/>
        <w:rPr>
          <w:sz w:val="32"/>
          <w:szCs w:val="32"/>
        </w:rPr>
      </w:pPr>
      <w:r>
        <w:rPr>
          <w:sz w:val="32"/>
          <w:szCs w:val="32"/>
        </w:rPr>
        <w:t>本办法由</w:t>
      </w:r>
      <w:r>
        <w:rPr>
          <w:rFonts w:hint="eastAsia"/>
          <w:sz w:val="32"/>
          <w:szCs w:val="32"/>
        </w:rPr>
        <w:t>佛山市南海区工程勘察设计咨询协会</w:t>
      </w:r>
      <w:r>
        <w:rPr>
          <w:sz w:val="32"/>
          <w:szCs w:val="32"/>
        </w:rPr>
        <w:t>负责解释，自公布之日起实施。</w:t>
      </w:r>
    </w:p>
    <w:p>
      <w:pPr>
        <w:pStyle w:val="2"/>
      </w:pPr>
    </w:p>
    <w:p>
      <w:pPr>
        <w:wordWrap w:val="0"/>
        <w:spacing w:line="560" w:lineRule="exact"/>
        <w:ind w:firstLine="643"/>
        <w:rPr>
          <w:b/>
          <w:sz w:val="32"/>
          <w:szCs w:val="32"/>
        </w:rPr>
      </w:pPr>
      <w:r>
        <w:rPr>
          <w:b/>
          <w:sz w:val="32"/>
          <w:szCs w:val="32"/>
        </w:rPr>
        <w:t>附件：</w:t>
      </w:r>
    </w:p>
    <w:p>
      <w:pPr>
        <w:wordWrap w:val="0"/>
        <w:spacing w:line="560" w:lineRule="exact"/>
        <w:ind w:firstLine="640"/>
        <w:rPr>
          <w:sz w:val="32"/>
          <w:szCs w:val="32"/>
        </w:rPr>
      </w:pPr>
      <w:r>
        <w:rPr>
          <w:sz w:val="32"/>
          <w:szCs w:val="32"/>
        </w:rPr>
        <w:t xml:space="preserve">1 </w:t>
      </w:r>
      <w:r>
        <w:rPr>
          <w:rFonts w:hint="eastAsia"/>
          <w:sz w:val="32"/>
          <w:szCs w:val="32"/>
        </w:rPr>
        <w:t>佛山市南海区优秀绿色建材</w:t>
      </w:r>
      <w:r>
        <w:rPr>
          <w:rFonts w:hint="eastAsia"/>
          <w:sz w:val="32"/>
          <w:szCs w:val="32"/>
          <w:lang w:val="en-US" w:eastAsia="zh-CN"/>
        </w:rPr>
        <w:t>应用</w:t>
      </w:r>
      <w:r>
        <w:rPr>
          <w:rFonts w:hint="eastAsia"/>
          <w:sz w:val="32"/>
          <w:szCs w:val="32"/>
        </w:rPr>
        <w:t>项目申报书</w:t>
      </w:r>
    </w:p>
    <w:p>
      <w:pPr>
        <w:wordWrap w:val="0"/>
        <w:spacing w:line="560" w:lineRule="exact"/>
        <w:ind w:firstLine="640"/>
        <w:rPr>
          <w:sz w:val="32"/>
          <w:szCs w:val="32"/>
        </w:rPr>
      </w:pPr>
      <w:r>
        <w:rPr>
          <w:sz w:val="32"/>
          <w:szCs w:val="32"/>
        </w:rPr>
        <w:t xml:space="preserve">2 </w:t>
      </w:r>
      <w:r>
        <w:rPr>
          <w:rFonts w:hint="eastAsia"/>
          <w:sz w:val="32"/>
          <w:szCs w:val="32"/>
        </w:rPr>
        <w:t>佛山市南海区优秀绿色建材</w:t>
      </w:r>
      <w:r>
        <w:rPr>
          <w:rFonts w:hint="eastAsia"/>
          <w:sz w:val="32"/>
          <w:szCs w:val="32"/>
          <w:lang w:val="en-US" w:eastAsia="zh-CN"/>
        </w:rPr>
        <w:t>应用</w:t>
      </w:r>
      <w:r>
        <w:rPr>
          <w:rFonts w:hint="eastAsia"/>
          <w:sz w:val="32"/>
          <w:szCs w:val="32"/>
        </w:rPr>
        <w:t>项目评分表</w:t>
      </w:r>
    </w:p>
    <w:p>
      <w:pPr>
        <w:pStyle w:val="2"/>
      </w:pPr>
    </w:p>
    <w:p>
      <w:pPr>
        <w:pStyle w:val="2"/>
      </w:pPr>
    </w:p>
    <w:p>
      <w:pPr>
        <w:spacing w:line="560" w:lineRule="exact"/>
        <w:ind w:firstLine="640"/>
        <w:jc w:val="right"/>
        <w:rPr>
          <w:sz w:val="32"/>
          <w:szCs w:val="32"/>
        </w:rPr>
      </w:pPr>
      <w:r>
        <w:rPr>
          <w:rFonts w:hint="eastAsia"/>
          <w:sz w:val="32"/>
          <w:szCs w:val="32"/>
        </w:rPr>
        <w:t>佛山市南海区工程勘察设计咨询协会</w:t>
      </w:r>
    </w:p>
    <w:p>
      <w:pPr>
        <w:spacing w:line="560" w:lineRule="exact"/>
        <w:ind w:firstLine="640"/>
        <w:jc w:val="right"/>
        <w:rPr>
          <w:sz w:val="32"/>
          <w:szCs w:val="32"/>
        </w:rPr>
      </w:pPr>
      <w:r>
        <w:rPr>
          <w:sz w:val="32"/>
          <w:szCs w:val="32"/>
        </w:rPr>
        <w:t>2023年</w:t>
      </w:r>
      <w:r>
        <w:rPr>
          <w:rFonts w:hint="eastAsia"/>
          <w:sz w:val="32"/>
          <w:szCs w:val="32"/>
          <w:lang w:val="en-US" w:eastAsia="zh-CN"/>
        </w:rPr>
        <w:t>8</w:t>
      </w:r>
      <w:r>
        <w:rPr>
          <w:sz w:val="32"/>
          <w:szCs w:val="32"/>
        </w:rPr>
        <w:t>月</w:t>
      </w:r>
      <w:r>
        <w:rPr>
          <w:rFonts w:hint="eastAsia"/>
          <w:sz w:val="32"/>
          <w:szCs w:val="32"/>
          <w:lang w:val="en-US" w:eastAsia="zh-CN"/>
        </w:rPr>
        <w:t>8</w:t>
      </w:r>
      <w:r>
        <w:rPr>
          <w:sz w:val="32"/>
          <w:szCs w:val="32"/>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BE35C4"/>
    <w:multiLevelType w:val="multilevel"/>
    <w:tmpl w:val="77BE35C4"/>
    <w:lvl w:ilvl="0" w:tentative="0">
      <w:start w:val="1"/>
      <w:numFmt w:val="chineseCountingThousand"/>
      <w:pStyle w:val="3"/>
      <w:suff w:val="nothing"/>
      <w:lvlText w:val="第%1部分"/>
      <w:lvlJc w:val="center"/>
      <w:pPr>
        <w:ind w:left="0" w:firstLine="288"/>
      </w:pPr>
      <w:rPr>
        <w:rFonts w:hint="eastAsia"/>
        <w:sz w:val="28"/>
        <w:szCs w:val="28"/>
      </w:rPr>
    </w:lvl>
    <w:lvl w:ilvl="1" w:tentative="0">
      <w:start w:val="1"/>
      <w:numFmt w:val="chineseCountingThousand"/>
      <w:pStyle w:val="4"/>
      <w:suff w:val="nothing"/>
      <w:lvlText w:val="%2、"/>
      <w:lvlJc w:val="left"/>
      <w:pPr>
        <w:ind w:left="240" w:firstLine="0"/>
      </w:pPr>
      <w:rPr>
        <w:rFonts w:hint="eastAsia" w:ascii="宋体" w:hAnsi="宋体" w:eastAsia="宋体"/>
        <w:sz w:val="24"/>
        <w:szCs w:val="24"/>
      </w:rPr>
    </w:lvl>
    <w:lvl w:ilvl="2" w:tentative="0">
      <w:start w:val="1"/>
      <w:numFmt w:val="chineseCountingThousand"/>
      <w:suff w:val="nothing"/>
      <w:lvlText w:val="(%3)"/>
      <w:lvlJc w:val="left"/>
      <w:pPr>
        <w:ind w:left="0" w:firstLine="0"/>
      </w:pPr>
      <w:rPr>
        <w:rFonts w:hint="eastAsia"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5MDcwMjk3ODE3NDhhYjBiMDA2OGNmM2Y2ZDYzODkifQ=="/>
  </w:docVars>
  <w:rsids>
    <w:rsidRoot w:val="00CE3019"/>
    <w:rsid w:val="00013BC1"/>
    <w:rsid w:val="00017C34"/>
    <w:rsid w:val="00025B36"/>
    <w:rsid w:val="000368AF"/>
    <w:rsid w:val="00050128"/>
    <w:rsid w:val="00055F73"/>
    <w:rsid w:val="0006007E"/>
    <w:rsid w:val="00146FEA"/>
    <w:rsid w:val="001A359A"/>
    <w:rsid w:val="001C1ED8"/>
    <w:rsid w:val="00222D6F"/>
    <w:rsid w:val="0023776B"/>
    <w:rsid w:val="0026547D"/>
    <w:rsid w:val="002657E7"/>
    <w:rsid w:val="00277749"/>
    <w:rsid w:val="002B1B77"/>
    <w:rsid w:val="002C1CB5"/>
    <w:rsid w:val="002C2859"/>
    <w:rsid w:val="002F1BB9"/>
    <w:rsid w:val="002F50EA"/>
    <w:rsid w:val="00313A8E"/>
    <w:rsid w:val="00331525"/>
    <w:rsid w:val="003377AB"/>
    <w:rsid w:val="00353D5D"/>
    <w:rsid w:val="003A6C6A"/>
    <w:rsid w:val="003B790A"/>
    <w:rsid w:val="003C18E0"/>
    <w:rsid w:val="003F1B4D"/>
    <w:rsid w:val="00412E19"/>
    <w:rsid w:val="00484FF4"/>
    <w:rsid w:val="004A23FA"/>
    <w:rsid w:val="004A7918"/>
    <w:rsid w:val="004D7626"/>
    <w:rsid w:val="00526385"/>
    <w:rsid w:val="00570F80"/>
    <w:rsid w:val="005C29B2"/>
    <w:rsid w:val="00602AC7"/>
    <w:rsid w:val="00646FBB"/>
    <w:rsid w:val="00673BA7"/>
    <w:rsid w:val="0069721A"/>
    <w:rsid w:val="006A26EB"/>
    <w:rsid w:val="006B0B03"/>
    <w:rsid w:val="006E32F0"/>
    <w:rsid w:val="00713A9D"/>
    <w:rsid w:val="00715EF7"/>
    <w:rsid w:val="00732A2F"/>
    <w:rsid w:val="007521C2"/>
    <w:rsid w:val="00762185"/>
    <w:rsid w:val="007749EE"/>
    <w:rsid w:val="00785205"/>
    <w:rsid w:val="0078655D"/>
    <w:rsid w:val="00791247"/>
    <w:rsid w:val="007B1BFA"/>
    <w:rsid w:val="007F55D5"/>
    <w:rsid w:val="00813FF1"/>
    <w:rsid w:val="0084769B"/>
    <w:rsid w:val="008931C2"/>
    <w:rsid w:val="008C3462"/>
    <w:rsid w:val="00903799"/>
    <w:rsid w:val="009564B8"/>
    <w:rsid w:val="009571BD"/>
    <w:rsid w:val="00963787"/>
    <w:rsid w:val="00983AC8"/>
    <w:rsid w:val="009A1039"/>
    <w:rsid w:val="009B25E9"/>
    <w:rsid w:val="009C2E04"/>
    <w:rsid w:val="009C6268"/>
    <w:rsid w:val="009E0046"/>
    <w:rsid w:val="009E4D9D"/>
    <w:rsid w:val="00A111A9"/>
    <w:rsid w:val="00A51D7F"/>
    <w:rsid w:val="00A65109"/>
    <w:rsid w:val="00AB4FF8"/>
    <w:rsid w:val="00AB6F94"/>
    <w:rsid w:val="00AD21B1"/>
    <w:rsid w:val="00B603EC"/>
    <w:rsid w:val="00C46F27"/>
    <w:rsid w:val="00C503C3"/>
    <w:rsid w:val="00C8670C"/>
    <w:rsid w:val="00CD3C65"/>
    <w:rsid w:val="00CE0472"/>
    <w:rsid w:val="00CE3019"/>
    <w:rsid w:val="00D44118"/>
    <w:rsid w:val="00D83B04"/>
    <w:rsid w:val="00DA0F7B"/>
    <w:rsid w:val="00DB6F44"/>
    <w:rsid w:val="00DB7CED"/>
    <w:rsid w:val="00DF03AB"/>
    <w:rsid w:val="00E22BA0"/>
    <w:rsid w:val="00E32B1D"/>
    <w:rsid w:val="00E71C28"/>
    <w:rsid w:val="00E8496C"/>
    <w:rsid w:val="00EB639A"/>
    <w:rsid w:val="00F04221"/>
    <w:rsid w:val="00F41BD4"/>
    <w:rsid w:val="00F614D3"/>
    <w:rsid w:val="00F777D7"/>
    <w:rsid w:val="00FA3838"/>
    <w:rsid w:val="00FD1DA9"/>
    <w:rsid w:val="01042127"/>
    <w:rsid w:val="01BB4484"/>
    <w:rsid w:val="030B704F"/>
    <w:rsid w:val="043308FF"/>
    <w:rsid w:val="04981D53"/>
    <w:rsid w:val="06255BC2"/>
    <w:rsid w:val="076D15CF"/>
    <w:rsid w:val="07961BBB"/>
    <w:rsid w:val="0A2016CF"/>
    <w:rsid w:val="0B1D02B9"/>
    <w:rsid w:val="0C0A1A81"/>
    <w:rsid w:val="0D546C2B"/>
    <w:rsid w:val="0F21307F"/>
    <w:rsid w:val="0F9F6E3B"/>
    <w:rsid w:val="104B70A6"/>
    <w:rsid w:val="10E33AA8"/>
    <w:rsid w:val="115E0792"/>
    <w:rsid w:val="115F6E61"/>
    <w:rsid w:val="12CA5B28"/>
    <w:rsid w:val="12E525A6"/>
    <w:rsid w:val="15D1279F"/>
    <w:rsid w:val="18226704"/>
    <w:rsid w:val="1C980017"/>
    <w:rsid w:val="1CAA3706"/>
    <w:rsid w:val="1CAC16B1"/>
    <w:rsid w:val="1D4E39B9"/>
    <w:rsid w:val="1FA878AB"/>
    <w:rsid w:val="20D97593"/>
    <w:rsid w:val="21136300"/>
    <w:rsid w:val="21F71049"/>
    <w:rsid w:val="22217C5C"/>
    <w:rsid w:val="222E281A"/>
    <w:rsid w:val="234D1186"/>
    <w:rsid w:val="242E61B2"/>
    <w:rsid w:val="24F56501"/>
    <w:rsid w:val="25BE0CE6"/>
    <w:rsid w:val="28175C81"/>
    <w:rsid w:val="288A62F7"/>
    <w:rsid w:val="28DE6012"/>
    <w:rsid w:val="292632E4"/>
    <w:rsid w:val="2AA937D5"/>
    <w:rsid w:val="2C09543D"/>
    <w:rsid w:val="2D307B42"/>
    <w:rsid w:val="31D67BBA"/>
    <w:rsid w:val="326704F2"/>
    <w:rsid w:val="32C657BE"/>
    <w:rsid w:val="340E176C"/>
    <w:rsid w:val="3857515F"/>
    <w:rsid w:val="38875139"/>
    <w:rsid w:val="3A443B62"/>
    <w:rsid w:val="3BA65ED0"/>
    <w:rsid w:val="3D3C7D66"/>
    <w:rsid w:val="3F41064F"/>
    <w:rsid w:val="41002A4B"/>
    <w:rsid w:val="41314E40"/>
    <w:rsid w:val="41E1094F"/>
    <w:rsid w:val="45870A5B"/>
    <w:rsid w:val="465D3439"/>
    <w:rsid w:val="47164DD3"/>
    <w:rsid w:val="47D2631F"/>
    <w:rsid w:val="4839585E"/>
    <w:rsid w:val="486E087E"/>
    <w:rsid w:val="49256843"/>
    <w:rsid w:val="4BAD5A0B"/>
    <w:rsid w:val="4BC978A3"/>
    <w:rsid w:val="4C0B77F1"/>
    <w:rsid w:val="4CC41938"/>
    <w:rsid w:val="4DA9228F"/>
    <w:rsid w:val="4DDE1EAC"/>
    <w:rsid w:val="4E2A3BA6"/>
    <w:rsid w:val="4E6A1F69"/>
    <w:rsid w:val="4E9051F3"/>
    <w:rsid w:val="4F9C5BCF"/>
    <w:rsid w:val="517A013D"/>
    <w:rsid w:val="52035D75"/>
    <w:rsid w:val="564F7BAA"/>
    <w:rsid w:val="57F51B75"/>
    <w:rsid w:val="592A24C9"/>
    <w:rsid w:val="5B490511"/>
    <w:rsid w:val="5C6C5DD1"/>
    <w:rsid w:val="5C7B2FBB"/>
    <w:rsid w:val="5D8347AC"/>
    <w:rsid w:val="5DFE3385"/>
    <w:rsid w:val="5FAF4C3D"/>
    <w:rsid w:val="5FBF0CD9"/>
    <w:rsid w:val="613C66E7"/>
    <w:rsid w:val="635579EE"/>
    <w:rsid w:val="637D3ABD"/>
    <w:rsid w:val="658E5B0E"/>
    <w:rsid w:val="676A0143"/>
    <w:rsid w:val="684E0D53"/>
    <w:rsid w:val="687253AB"/>
    <w:rsid w:val="69D72230"/>
    <w:rsid w:val="6A620DC8"/>
    <w:rsid w:val="6BDC6B22"/>
    <w:rsid w:val="6D89140C"/>
    <w:rsid w:val="6DDA7F29"/>
    <w:rsid w:val="6EF30130"/>
    <w:rsid w:val="73A34EFA"/>
    <w:rsid w:val="7475675A"/>
    <w:rsid w:val="74D50DA1"/>
    <w:rsid w:val="777E431C"/>
    <w:rsid w:val="77B34302"/>
    <w:rsid w:val="77F03860"/>
    <w:rsid w:val="7940658B"/>
    <w:rsid w:val="7A6A77D8"/>
    <w:rsid w:val="7ACC7EDA"/>
    <w:rsid w:val="7B3A2568"/>
    <w:rsid w:val="7E832126"/>
    <w:rsid w:val="7ECC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80"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link w:val="22"/>
    <w:qFormat/>
    <w:uiPriority w:val="9"/>
    <w:pPr>
      <w:keepNext/>
      <w:numPr>
        <w:ilvl w:val="0"/>
        <w:numId w:val="1"/>
      </w:numPr>
      <w:spacing w:before="50" w:beforeLines="50" w:after="50" w:afterLines="50" w:line="480" w:lineRule="auto"/>
      <w:ind w:firstLine="0" w:firstLineChars="0"/>
      <w:jc w:val="left"/>
      <w:outlineLvl w:val="0"/>
    </w:pPr>
    <w:rPr>
      <w:rFonts w:ascii="Calibri" w:hAnsi="Calibri" w:eastAsia="方正仿宋简体"/>
      <w:b/>
      <w:sz w:val="32"/>
    </w:rPr>
  </w:style>
  <w:style w:type="paragraph" w:styleId="4">
    <w:name w:val="heading 2"/>
    <w:basedOn w:val="1"/>
    <w:next w:val="1"/>
    <w:link w:val="20"/>
    <w:semiHidden/>
    <w:unhideWhenUsed/>
    <w:qFormat/>
    <w:uiPriority w:val="0"/>
    <w:pPr>
      <w:keepNext/>
      <w:keepLines/>
      <w:numPr>
        <w:ilvl w:val="1"/>
        <w:numId w:val="1"/>
      </w:numPr>
      <w:spacing w:before="260" w:after="260" w:line="360" w:lineRule="auto"/>
      <w:ind w:firstLineChars="0"/>
      <w:jc w:val="center"/>
      <w:outlineLvl w:val="1"/>
    </w:pPr>
    <w:rPr>
      <w:rFonts w:ascii="Arial" w:hAnsi="Arial" w:eastAsia="宋体"/>
      <w:b/>
      <w:bCs/>
      <w:sz w:val="24"/>
      <w:szCs w:val="32"/>
    </w:rPr>
  </w:style>
  <w:style w:type="paragraph" w:styleId="5">
    <w:name w:val="heading 3"/>
    <w:basedOn w:val="1"/>
    <w:next w:val="1"/>
    <w:link w:val="25"/>
    <w:unhideWhenUsed/>
    <w:qFormat/>
    <w:uiPriority w:val="9"/>
    <w:pPr>
      <w:spacing w:beforeAutospacing="1" w:afterAutospacing="1"/>
      <w:jc w:val="left"/>
      <w:outlineLvl w:val="2"/>
    </w:pPr>
    <w:rPr>
      <w:rFonts w:hint="eastAsia" w:ascii="宋体" w:hAnsi="宋体" w:eastAsia="宋体"/>
      <w:b/>
      <w:bCs/>
      <w:kern w:val="0"/>
      <w:sz w:val="27"/>
      <w:szCs w:val="27"/>
    </w:rPr>
  </w:style>
  <w:style w:type="paragraph" w:styleId="6">
    <w:name w:val="heading 4"/>
    <w:basedOn w:val="1"/>
    <w:next w:val="1"/>
    <w:link w:val="23"/>
    <w:semiHidden/>
    <w:unhideWhenUsed/>
    <w:qFormat/>
    <w:uiPriority w:val="0"/>
    <w:pPr>
      <w:keepNext/>
      <w:keepLines/>
      <w:numPr>
        <w:ilvl w:val="3"/>
        <w:numId w:val="1"/>
      </w:numPr>
      <w:ind w:firstLineChars="0"/>
      <w:outlineLvl w:val="3"/>
    </w:pPr>
    <w:rPr>
      <w:rFonts w:cstheme="majorBidi"/>
      <w:bCs/>
      <w:szCs w:val="28"/>
    </w:rPr>
  </w:style>
  <w:style w:type="paragraph" w:styleId="7">
    <w:name w:val="heading 5"/>
    <w:basedOn w:val="1"/>
    <w:next w:val="1"/>
    <w:link w:val="26"/>
    <w:semiHidden/>
    <w:unhideWhenUsed/>
    <w:qFormat/>
    <w:uiPriority w:val="0"/>
    <w:pPr>
      <w:keepNext/>
      <w:keepLines/>
      <w:ind w:firstLine="0" w:firstLineChars="0"/>
      <w:outlineLvl w:val="4"/>
    </w:pPr>
    <w:rPr>
      <w:bCs/>
      <w:szCs w:val="28"/>
    </w:rPr>
  </w:style>
  <w:style w:type="paragraph" w:styleId="8">
    <w:name w:val="heading 6"/>
    <w:basedOn w:val="1"/>
    <w:next w:val="1"/>
    <w:link w:val="27"/>
    <w:semiHidden/>
    <w:unhideWhenUsed/>
    <w:qFormat/>
    <w:uiPriority w:val="0"/>
    <w:pPr>
      <w:keepNext/>
      <w:keepLines/>
      <w:ind w:firstLine="0" w:firstLineChars="0"/>
      <w:outlineLvl w:val="5"/>
    </w:pPr>
    <w:rPr>
      <w:rFonts w:cstheme="majorBidi"/>
      <w:bC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40" w:lineRule="exact"/>
      <w:ind w:firstLine="0" w:firstLineChars="0"/>
    </w:pPr>
    <w:rPr>
      <w:sz w:val="24"/>
    </w:rPr>
  </w:style>
  <w:style w:type="paragraph" w:styleId="9">
    <w:name w:val="Normal Indent"/>
    <w:basedOn w:val="1"/>
    <w:qFormat/>
    <w:uiPriority w:val="0"/>
    <w:pPr>
      <w:widowControl/>
      <w:ind w:firstLine="0" w:firstLineChars="0"/>
      <w:jc w:val="center"/>
    </w:pPr>
    <w:rPr>
      <w:kern w:val="0"/>
      <w:szCs w:val="20"/>
    </w:rPr>
  </w:style>
  <w:style w:type="paragraph" w:styleId="10">
    <w:name w:val="annotation text"/>
    <w:basedOn w:val="1"/>
    <w:qFormat/>
    <w:uiPriority w:val="0"/>
    <w:pPr>
      <w:jc w:val="left"/>
    </w:pPr>
  </w:style>
  <w:style w:type="paragraph" w:styleId="11">
    <w:name w:val="Body Text Indent"/>
    <w:basedOn w:val="1"/>
    <w:link w:val="24"/>
    <w:qFormat/>
    <w:uiPriority w:val="0"/>
    <w:pPr>
      <w:ind w:firstLine="0" w:firstLineChars="0"/>
      <w:jc w:val="center"/>
    </w:pPr>
    <w:rPr>
      <w:sz w:val="24"/>
    </w:rPr>
  </w:style>
  <w:style w:type="paragraph" w:styleId="12">
    <w:name w:val="Balloon Text"/>
    <w:basedOn w:val="1"/>
    <w:link w:val="30"/>
    <w:qFormat/>
    <w:uiPriority w:val="0"/>
    <w:rPr>
      <w:sz w:val="18"/>
      <w:szCs w:val="18"/>
    </w:rPr>
  </w:style>
  <w:style w:type="paragraph" w:styleId="13">
    <w:name w:val="footer"/>
    <w:basedOn w:val="1"/>
    <w:link w:val="29"/>
    <w:qFormat/>
    <w:uiPriority w:val="0"/>
    <w:pPr>
      <w:tabs>
        <w:tab w:val="center" w:pos="4153"/>
        <w:tab w:val="right" w:pos="8306"/>
      </w:tabs>
      <w:snapToGrid w:val="0"/>
      <w:jc w:val="left"/>
    </w:pPr>
    <w:rPr>
      <w:sz w:val="18"/>
      <w:szCs w:val="18"/>
    </w:rPr>
  </w:style>
  <w:style w:type="paragraph" w:styleId="14">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5">
    <w:name w:val="toc 2"/>
    <w:basedOn w:val="1"/>
    <w:next w:val="1"/>
    <w:qFormat/>
    <w:uiPriority w:val="0"/>
    <w:pPr>
      <w:spacing w:before="50" w:beforeLines="50" w:after="100" w:afterLines="100" w:line="360" w:lineRule="auto"/>
    </w:pPr>
    <w:rPr>
      <w:rFonts w:eastAsia="宋体"/>
      <w:b/>
      <w:szCs w:val="22"/>
    </w:rPr>
  </w:style>
  <w:style w:type="paragraph" w:styleId="16">
    <w:name w:val="Normal (Web)"/>
    <w:basedOn w:val="1"/>
    <w:qFormat/>
    <w:uiPriority w:val="0"/>
    <w:pPr>
      <w:spacing w:beforeAutospacing="1" w:afterAutospacing="1"/>
      <w:jc w:val="left"/>
    </w:pPr>
    <w:rPr>
      <w:kern w:val="0"/>
      <w:sz w:val="24"/>
    </w:rPr>
  </w:style>
  <w:style w:type="character" w:styleId="19">
    <w:name w:val="annotation reference"/>
    <w:basedOn w:val="18"/>
    <w:qFormat/>
    <w:uiPriority w:val="0"/>
    <w:rPr>
      <w:sz w:val="21"/>
      <w:szCs w:val="21"/>
    </w:rPr>
  </w:style>
  <w:style w:type="character" w:customStyle="1" w:styleId="20">
    <w:name w:val="标题 2 字符"/>
    <w:link w:val="4"/>
    <w:qFormat/>
    <w:uiPriority w:val="0"/>
    <w:rPr>
      <w:rFonts w:ascii="Arial" w:hAnsi="Arial" w:eastAsia="宋体" w:cs="Times New Roman"/>
      <w:b/>
      <w:bCs/>
      <w:sz w:val="24"/>
      <w:szCs w:val="32"/>
    </w:rPr>
  </w:style>
  <w:style w:type="paragraph" w:customStyle="1" w:styleId="21">
    <w:name w:val="商务部分正文"/>
    <w:basedOn w:val="1"/>
    <w:qFormat/>
    <w:uiPriority w:val="0"/>
  </w:style>
  <w:style w:type="character" w:customStyle="1" w:styleId="22">
    <w:name w:val="标题 1 字符"/>
    <w:link w:val="3"/>
    <w:qFormat/>
    <w:uiPriority w:val="9"/>
    <w:rPr>
      <w:rFonts w:ascii="Calibri" w:hAnsi="Calibri" w:eastAsia="宋体"/>
      <w:b/>
      <w:kern w:val="2"/>
      <w:sz w:val="36"/>
      <w:szCs w:val="22"/>
    </w:rPr>
  </w:style>
  <w:style w:type="character" w:customStyle="1" w:styleId="23">
    <w:name w:val="标题 4 字符"/>
    <w:basedOn w:val="18"/>
    <w:link w:val="6"/>
    <w:semiHidden/>
    <w:qFormat/>
    <w:uiPriority w:val="9"/>
    <w:rPr>
      <w:rFonts w:ascii="Times New Roman" w:hAnsi="Times New Roman" w:eastAsia="仿宋_GB2312" w:cstheme="majorBidi"/>
      <w:bCs/>
      <w:kern w:val="2"/>
      <w:sz w:val="28"/>
      <w:szCs w:val="28"/>
    </w:rPr>
  </w:style>
  <w:style w:type="character" w:customStyle="1" w:styleId="24">
    <w:name w:val="正文文本缩进 字符"/>
    <w:link w:val="11"/>
    <w:qFormat/>
    <w:uiPriority w:val="0"/>
    <w:rPr>
      <w:rFonts w:eastAsia="宋体"/>
      <w:kern w:val="2"/>
      <w:sz w:val="24"/>
      <w:szCs w:val="24"/>
    </w:rPr>
  </w:style>
  <w:style w:type="character" w:customStyle="1" w:styleId="25">
    <w:name w:val="标题 3 字符"/>
    <w:basedOn w:val="18"/>
    <w:link w:val="5"/>
    <w:qFormat/>
    <w:uiPriority w:val="0"/>
    <w:rPr>
      <w:rFonts w:ascii="Times New Roman" w:hAnsi="Times New Roman" w:eastAsia="宋体"/>
      <w:b/>
      <w:bCs/>
      <w:kern w:val="2"/>
      <w:sz w:val="28"/>
      <w:szCs w:val="32"/>
    </w:rPr>
  </w:style>
  <w:style w:type="character" w:customStyle="1" w:styleId="26">
    <w:name w:val="标题 5 字符"/>
    <w:basedOn w:val="18"/>
    <w:link w:val="7"/>
    <w:qFormat/>
    <w:uiPriority w:val="9"/>
    <w:rPr>
      <w:rFonts w:ascii="Times New Roman" w:hAnsi="Times New Roman" w:eastAsia="仿宋_GB2312"/>
      <w:bCs/>
      <w:kern w:val="2"/>
      <w:sz w:val="28"/>
      <w:szCs w:val="28"/>
    </w:rPr>
  </w:style>
  <w:style w:type="character" w:customStyle="1" w:styleId="27">
    <w:name w:val="标题 6 字符"/>
    <w:basedOn w:val="18"/>
    <w:link w:val="8"/>
    <w:qFormat/>
    <w:uiPriority w:val="9"/>
    <w:rPr>
      <w:rFonts w:ascii="Times New Roman" w:hAnsi="Times New Roman" w:eastAsia="仿宋_GB2312" w:cstheme="majorBidi"/>
      <w:bCs/>
      <w:kern w:val="2"/>
      <w:sz w:val="28"/>
      <w:szCs w:val="24"/>
    </w:rPr>
  </w:style>
  <w:style w:type="character" w:customStyle="1" w:styleId="28">
    <w:name w:val="页眉 字符"/>
    <w:basedOn w:val="18"/>
    <w:link w:val="14"/>
    <w:qFormat/>
    <w:uiPriority w:val="0"/>
    <w:rPr>
      <w:rFonts w:eastAsia="仿宋_GB2312"/>
      <w:kern w:val="2"/>
      <w:sz w:val="18"/>
      <w:szCs w:val="18"/>
    </w:rPr>
  </w:style>
  <w:style w:type="character" w:customStyle="1" w:styleId="29">
    <w:name w:val="页脚 字符"/>
    <w:basedOn w:val="18"/>
    <w:link w:val="13"/>
    <w:qFormat/>
    <w:uiPriority w:val="0"/>
    <w:rPr>
      <w:rFonts w:eastAsia="仿宋_GB2312"/>
      <w:kern w:val="2"/>
      <w:sz w:val="18"/>
      <w:szCs w:val="18"/>
    </w:rPr>
  </w:style>
  <w:style w:type="character" w:customStyle="1" w:styleId="30">
    <w:name w:val="批注框文本 字符"/>
    <w:basedOn w:val="18"/>
    <w:link w:val="1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2B04A-7988-4764-BAE5-DB6143997AD1}">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2151</Words>
  <Characters>2256</Characters>
  <Lines>16</Lines>
  <Paragraphs>4</Paragraphs>
  <TotalTime>4</TotalTime>
  <ScaleCrop>false</ScaleCrop>
  <LinksUpToDate>false</LinksUpToDate>
  <CharactersWithSpaces>2283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2023-07-01T10:18:00Z</dcterms:created>
  <dc:creator>fyq</dc:creator>
  <cp:lastModifiedBy>蜡笔小欣</cp:lastModifiedBy>
  <cp:lastPrinted>2023-08-08T03:14:00Z</cp:lastPrinted>
  <dcterms:modified xsi:type="dcterms:W3CDTF">2023-08-08T09:36:56Z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35622D7AA6C4465EBF115F4B5EF84B47_13</vt:lpwstr>
  </property>
</Properties>
</file>